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EC5" w:rsidRPr="00EB388A" w:rsidRDefault="008376AE" w:rsidP="00160EC5">
      <w:pPr>
        <w:pStyle w:val="Titre"/>
        <w:spacing w:line="360" w:lineRule="auto"/>
        <w:rPr>
          <w:rFonts w:ascii="Poppins" w:hAnsi="Poppins" w:cs="Poppins"/>
          <w:sz w:val="32"/>
        </w:rPr>
      </w:pPr>
      <w:r w:rsidRPr="00160EC5">
        <w:rPr>
          <w:rFonts w:ascii="Poppins" w:hAnsi="Poppins" w:cs="Poppins"/>
          <w:b/>
          <w:sz w:val="36"/>
        </w:rPr>
        <w:t>Fiche pratique :</w:t>
      </w:r>
      <w:r w:rsidRPr="00160EC5">
        <w:rPr>
          <w:rFonts w:ascii="Poppins" w:hAnsi="Poppins" w:cs="Poppins"/>
          <w:b/>
          <w:sz w:val="36"/>
        </w:rPr>
        <w:br/>
      </w:r>
      <w:r w:rsidR="0056499F">
        <w:rPr>
          <w:rFonts w:ascii="Poppins" w:hAnsi="Poppins" w:cs="Poppins"/>
          <w:sz w:val="32"/>
        </w:rPr>
        <w:t xml:space="preserve">Pourquoi un référent culture en structure médico-sociale ? </w:t>
      </w:r>
    </w:p>
    <w:sdt>
      <w:sdtPr>
        <w:rPr>
          <w:rFonts w:ascii="Arial" w:eastAsia="Times New Roman" w:hAnsi="Arial" w:cs="Arial"/>
          <w:color w:val="auto"/>
          <w:sz w:val="24"/>
          <w:szCs w:val="24"/>
        </w:rPr>
        <w:id w:val="60230614"/>
        <w:docPartObj>
          <w:docPartGallery w:val="Table of Contents"/>
          <w:docPartUnique/>
        </w:docPartObj>
      </w:sdtPr>
      <w:sdtEndPr>
        <w:rPr>
          <w:b/>
          <w:bCs/>
          <w:sz w:val="28"/>
          <w:szCs w:val="28"/>
        </w:rPr>
      </w:sdtEndPr>
      <w:sdtContent>
        <w:p w:rsidR="00160EC5" w:rsidRPr="001E5A13" w:rsidRDefault="00160EC5" w:rsidP="00160EC5">
          <w:pPr>
            <w:pStyle w:val="En-ttedetabledesmatires"/>
            <w:spacing w:after="240"/>
            <w:rPr>
              <w:rFonts w:ascii="Arial" w:hAnsi="Arial" w:cs="Arial"/>
              <w:b/>
              <w:color w:val="000000" w:themeColor="text1"/>
            </w:rPr>
          </w:pPr>
          <w:r w:rsidRPr="001E5A13">
            <w:rPr>
              <w:rFonts w:ascii="Arial" w:hAnsi="Arial" w:cs="Arial"/>
              <w:b/>
              <w:color w:val="000000" w:themeColor="text1"/>
            </w:rPr>
            <w:t>Sommaire</w:t>
          </w:r>
        </w:p>
        <w:bookmarkStart w:id="0" w:name="_GoBack"/>
        <w:p w:rsidR="00340C77" w:rsidRPr="00340C77" w:rsidRDefault="00160EC5">
          <w:pPr>
            <w:pStyle w:val="TM1"/>
            <w:tabs>
              <w:tab w:val="left" w:pos="440"/>
              <w:tab w:val="right" w:leader="dot" w:pos="9062"/>
            </w:tabs>
            <w:rPr>
              <w:rFonts w:asciiTheme="minorHAnsi" w:eastAsiaTheme="minorEastAsia" w:hAnsiTheme="minorHAnsi" w:cstheme="minorBidi"/>
              <w:noProof/>
              <w:sz w:val="28"/>
              <w:szCs w:val="28"/>
            </w:rPr>
          </w:pPr>
          <w:r w:rsidRPr="00340C77">
            <w:rPr>
              <w:sz w:val="28"/>
              <w:szCs w:val="28"/>
            </w:rPr>
            <w:fldChar w:fldCharType="begin"/>
          </w:r>
          <w:r w:rsidRPr="00340C77">
            <w:rPr>
              <w:sz w:val="28"/>
              <w:szCs w:val="28"/>
            </w:rPr>
            <w:instrText xml:space="preserve"> TOC \o "1-3" \h \z \u </w:instrText>
          </w:r>
          <w:r w:rsidRPr="00340C77">
            <w:rPr>
              <w:sz w:val="28"/>
              <w:szCs w:val="28"/>
            </w:rPr>
            <w:fldChar w:fldCharType="separate"/>
          </w:r>
          <w:hyperlink w:anchor="_Toc168913489" w:history="1">
            <w:r w:rsidR="00340C77" w:rsidRPr="00340C77">
              <w:rPr>
                <w:rStyle w:val="Lienhypertexte"/>
                <w:noProof/>
                <w:sz w:val="28"/>
                <w:szCs w:val="28"/>
              </w:rPr>
              <w:t>1.</w:t>
            </w:r>
            <w:r w:rsidR="00340C77" w:rsidRPr="00340C77">
              <w:rPr>
                <w:rFonts w:asciiTheme="minorHAnsi" w:eastAsiaTheme="minorEastAsia" w:hAnsiTheme="minorHAnsi" w:cstheme="minorBidi"/>
                <w:noProof/>
                <w:sz w:val="28"/>
                <w:szCs w:val="28"/>
              </w:rPr>
              <w:tab/>
            </w:r>
            <w:r w:rsidR="00340C77" w:rsidRPr="00340C77">
              <w:rPr>
                <w:rStyle w:val="Lienhypertexte"/>
                <w:noProof/>
                <w:sz w:val="28"/>
                <w:szCs w:val="28"/>
              </w:rPr>
              <w:t>Quelle est l’utilité de nommer un référent culture ?</w:t>
            </w:r>
            <w:r w:rsidR="00340C77" w:rsidRPr="00340C77">
              <w:rPr>
                <w:noProof/>
                <w:webHidden/>
                <w:sz w:val="28"/>
                <w:szCs w:val="28"/>
              </w:rPr>
              <w:tab/>
            </w:r>
            <w:r w:rsidR="00340C77" w:rsidRPr="00340C77">
              <w:rPr>
                <w:noProof/>
                <w:webHidden/>
                <w:sz w:val="28"/>
                <w:szCs w:val="28"/>
              </w:rPr>
              <w:fldChar w:fldCharType="begin"/>
            </w:r>
            <w:r w:rsidR="00340C77" w:rsidRPr="00340C77">
              <w:rPr>
                <w:noProof/>
                <w:webHidden/>
                <w:sz w:val="28"/>
                <w:szCs w:val="28"/>
              </w:rPr>
              <w:instrText xml:space="preserve"> PAGEREF _Toc168913489 \h </w:instrText>
            </w:r>
            <w:r w:rsidR="00340C77" w:rsidRPr="00340C77">
              <w:rPr>
                <w:noProof/>
                <w:webHidden/>
                <w:sz w:val="28"/>
                <w:szCs w:val="28"/>
              </w:rPr>
            </w:r>
            <w:r w:rsidR="00340C77" w:rsidRPr="00340C77">
              <w:rPr>
                <w:noProof/>
                <w:webHidden/>
                <w:sz w:val="28"/>
                <w:szCs w:val="28"/>
              </w:rPr>
              <w:fldChar w:fldCharType="separate"/>
            </w:r>
            <w:r w:rsidR="00340C77" w:rsidRPr="00340C77">
              <w:rPr>
                <w:noProof/>
                <w:webHidden/>
                <w:sz w:val="28"/>
                <w:szCs w:val="28"/>
              </w:rPr>
              <w:t>2</w:t>
            </w:r>
            <w:r w:rsidR="00340C77" w:rsidRPr="00340C77">
              <w:rPr>
                <w:noProof/>
                <w:webHidden/>
                <w:sz w:val="28"/>
                <w:szCs w:val="28"/>
              </w:rPr>
              <w:fldChar w:fldCharType="end"/>
            </w:r>
          </w:hyperlink>
        </w:p>
        <w:p w:rsidR="00340C77" w:rsidRPr="00340C77" w:rsidRDefault="00340C77">
          <w:pPr>
            <w:pStyle w:val="TM1"/>
            <w:tabs>
              <w:tab w:val="left" w:pos="440"/>
              <w:tab w:val="right" w:leader="dot" w:pos="9062"/>
            </w:tabs>
            <w:rPr>
              <w:rFonts w:asciiTheme="minorHAnsi" w:eastAsiaTheme="minorEastAsia" w:hAnsiTheme="minorHAnsi" w:cstheme="minorBidi"/>
              <w:noProof/>
              <w:sz w:val="28"/>
              <w:szCs w:val="28"/>
            </w:rPr>
          </w:pPr>
          <w:hyperlink w:anchor="_Toc168913490" w:history="1">
            <w:r w:rsidRPr="00340C77">
              <w:rPr>
                <w:rStyle w:val="Lienhypertexte"/>
                <w:noProof/>
                <w:sz w:val="28"/>
                <w:szCs w:val="28"/>
              </w:rPr>
              <w:t>2.</w:t>
            </w:r>
            <w:r w:rsidRPr="00340C77">
              <w:rPr>
                <w:rFonts w:asciiTheme="minorHAnsi" w:eastAsiaTheme="minorEastAsia" w:hAnsiTheme="minorHAnsi" w:cstheme="minorBidi"/>
                <w:noProof/>
                <w:sz w:val="28"/>
                <w:szCs w:val="28"/>
              </w:rPr>
              <w:tab/>
            </w:r>
            <w:r w:rsidRPr="00340C77">
              <w:rPr>
                <w:rStyle w:val="Lienhypertexte"/>
                <w:noProof/>
                <w:sz w:val="28"/>
                <w:szCs w:val="28"/>
              </w:rPr>
              <w:t>Qui nommer ?</w:t>
            </w:r>
            <w:r w:rsidRPr="00340C77">
              <w:rPr>
                <w:noProof/>
                <w:webHidden/>
                <w:sz w:val="28"/>
                <w:szCs w:val="28"/>
              </w:rPr>
              <w:tab/>
            </w:r>
            <w:r w:rsidRPr="00340C77">
              <w:rPr>
                <w:noProof/>
                <w:webHidden/>
                <w:sz w:val="28"/>
                <w:szCs w:val="28"/>
              </w:rPr>
              <w:fldChar w:fldCharType="begin"/>
            </w:r>
            <w:r w:rsidRPr="00340C77">
              <w:rPr>
                <w:noProof/>
                <w:webHidden/>
                <w:sz w:val="28"/>
                <w:szCs w:val="28"/>
              </w:rPr>
              <w:instrText xml:space="preserve"> PAGEREF _Toc168913490 \h </w:instrText>
            </w:r>
            <w:r w:rsidRPr="00340C77">
              <w:rPr>
                <w:noProof/>
                <w:webHidden/>
                <w:sz w:val="28"/>
                <w:szCs w:val="28"/>
              </w:rPr>
            </w:r>
            <w:r w:rsidRPr="00340C77">
              <w:rPr>
                <w:noProof/>
                <w:webHidden/>
                <w:sz w:val="28"/>
                <w:szCs w:val="28"/>
              </w:rPr>
              <w:fldChar w:fldCharType="separate"/>
            </w:r>
            <w:r w:rsidRPr="00340C77">
              <w:rPr>
                <w:noProof/>
                <w:webHidden/>
                <w:sz w:val="28"/>
                <w:szCs w:val="28"/>
              </w:rPr>
              <w:t>3</w:t>
            </w:r>
            <w:r w:rsidRPr="00340C77">
              <w:rPr>
                <w:noProof/>
                <w:webHidden/>
                <w:sz w:val="28"/>
                <w:szCs w:val="28"/>
              </w:rPr>
              <w:fldChar w:fldCharType="end"/>
            </w:r>
          </w:hyperlink>
        </w:p>
        <w:p w:rsidR="00340C77" w:rsidRPr="00340C77" w:rsidRDefault="00340C77">
          <w:pPr>
            <w:pStyle w:val="TM1"/>
            <w:tabs>
              <w:tab w:val="left" w:pos="440"/>
              <w:tab w:val="right" w:leader="dot" w:pos="9062"/>
            </w:tabs>
            <w:rPr>
              <w:rFonts w:asciiTheme="minorHAnsi" w:eastAsiaTheme="minorEastAsia" w:hAnsiTheme="minorHAnsi" w:cstheme="minorBidi"/>
              <w:noProof/>
              <w:sz w:val="28"/>
              <w:szCs w:val="28"/>
            </w:rPr>
          </w:pPr>
          <w:hyperlink w:anchor="_Toc168913491" w:history="1">
            <w:r w:rsidRPr="00340C77">
              <w:rPr>
                <w:rStyle w:val="Lienhypertexte"/>
                <w:noProof/>
                <w:sz w:val="28"/>
                <w:szCs w:val="28"/>
              </w:rPr>
              <w:t>3.</w:t>
            </w:r>
            <w:r w:rsidRPr="00340C77">
              <w:rPr>
                <w:rFonts w:asciiTheme="minorHAnsi" w:eastAsiaTheme="minorEastAsia" w:hAnsiTheme="minorHAnsi" w:cstheme="minorBidi"/>
                <w:noProof/>
                <w:sz w:val="28"/>
                <w:szCs w:val="28"/>
              </w:rPr>
              <w:tab/>
            </w:r>
            <w:r w:rsidRPr="00340C77">
              <w:rPr>
                <w:rStyle w:val="Lienhypertexte"/>
                <w:noProof/>
                <w:sz w:val="28"/>
                <w:szCs w:val="28"/>
              </w:rPr>
              <w:t>Quelles missions ?</w:t>
            </w:r>
            <w:r w:rsidRPr="00340C77">
              <w:rPr>
                <w:noProof/>
                <w:webHidden/>
                <w:sz w:val="28"/>
                <w:szCs w:val="28"/>
              </w:rPr>
              <w:tab/>
            </w:r>
            <w:r w:rsidRPr="00340C77">
              <w:rPr>
                <w:noProof/>
                <w:webHidden/>
                <w:sz w:val="28"/>
                <w:szCs w:val="28"/>
              </w:rPr>
              <w:fldChar w:fldCharType="begin"/>
            </w:r>
            <w:r w:rsidRPr="00340C77">
              <w:rPr>
                <w:noProof/>
                <w:webHidden/>
                <w:sz w:val="28"/>
                <w:szCs w:val="28"/>
              </w:rPr>
              <w:instrText xml:space="preserve"> PAGEREF _Toc168913491 \h </w:instrText>
            </w:r>
            <w:r w:rsidRPr="00340C77">
              <w:rPr>
                <w:noProof/>
                <w:webHidden/>
                <w:sz w:val="28"/>
                <w:szCs w:val="28"/>
              </w:rPr>
            </w:r>
            <w:r w:rsidRPr="00340C77">
              <w:rPr>
                <w:noProof/>
                <w:webHidden/>
                <w:sz w:val="28"/>
                <w:szCs w:val="28"/>
              </w:rPr>
              <w:fldChar w:fldCharType="separate"/>
            </w:r>
            <w:r w:rsidRPr="00340C77">
              <w:rPr>
                <w:noProof/>
                <w:webHidden/>
                <w:sz w:val="28"/>
                <w:szCs w:val="28"/>
              </w:rPr>
              <w:t>3</w:t>
            </w:r>
            <w:r w:rsidRPr="00340C77">
              <w:rPr>
                <w:noProof/>
                <w:webHidden/>
                <w:sz w:val="28"/>
                <w:szCs w:val="28"/>
              </w:rPr>
              <w:fldChar w:fldCharType="end"/>
            </w:r>
          </w:hyperlink>
        </w:p>
        <w:p w:rsidR="00340C77" w:rsidRPr="00340C77" w:rsidRDefault="00340C77">
          <w:pPr>
            <w:pStyle w:val="TM1"/>
            <w:tabs>
              <w:tab w:val="left" w:pos="440"/>
              <w:tab w:val="right" w:leader="dot" w:pos="9062"/>
            </w:tabs>
            <w:rPr>
              <w:rFonts w:asciiTheme="minorHAnsi" w:eastAsiaTheme="minorEastAsia" w:hAnsiTheme="minorHAnsi" w:cstheme="minorBidi"/>
              <w:noProof/>
              <w:sz w:val="28"/>
              <w:szCs w:val="28"/>
            </w:rPr>
          </w:pPr>
          <w:hyperlink w:anchor="_Toc168913492" w:history="1">
            <w:r w:rsidRPr="00340C77">
              <w:rPr>
                <w:rStyle w:val="Lienhypertexte"/>
                <w:noProof/>
                <w:sz w:val="28"/>
                <w:szCs w:val="28"/>
              </w:rPr>
              <w:t>4.</w:t>
            </w:r>
            <w:r w:rsidRPr="00340C77">
              <w:rPr>
                <w:rFonts w:asciiTheme="minorHAnsi" w:eastAsiaTheme="minorEastAsia" w:hAnsiTheme="minorHAnsi" w:cstheme="minorBidi"/>
                <w:noProof/>
                <w:sz w:val="28"/>
                <w:szCs w:val="28"/>
              </w:rPr>
              <w:tab/>
            </w:r>
            <w:r w:rsidRPr="00340C77">
              <w:rPr>
                <w:rStyle w:val="Lienhypertexte"/>
                <w:noProof/>
                <w:sz w:val="28"/>
                <w:szCs w:val="28"/>
              </w:rPr>
              <w:t>Ressources</w:t>
            </w:r>
            <w:r w:rsidRPr="00340C77">
              <w:rPr>
                <w:noProof/>
                <w:webHidden/>
                <w:sz w:val="28"/>
                <w:szCs w:val="28"/>
              </w:rPr>
              <w:tab/>
            </w:r>
            <w:r w:rsidRPr="00340C77">
              <w:rPr>
                <w:noProof/>
                <w:webHidden/>
                <w:sz w:val="28"/>
                <w:szCs w:val="28"/>
              </w:rPr>
              <w:fldChar w:fldCharType="begin"/>
            </w:r>
            <w:r w:rsidRPr="00340C77">
              <w:rPr>
                <w:noProof/>
                <w:webHidden/>
                <w:sz w:val="28"/>
                <w:szCs w:val="28"/>
              </w:rPr>
              <w:instrText xml:space="preserve"> PAGEREF _Toc168913492 \h </w:instrText>
            </w:r>
            <w:r w:rsidRPr="00340C77">
              <w:rPr>
                <w:noProof/>
                <w:webHidden/>
                <w:sz w:val="28"/>
                <w:szCs w:val="28"/>
              </w:rPr>
            </w:r>
            <w:r w:rsidRPr="00340C77">
              <w:rPr>
                <w:noProof/>
                <w:webHidden/>
                <w:sz w:val="28"/>
                <w:szCs w:val="28"/>
              </w:rPr>
              <w:fldChar w:fldCharType="separate"/>
            </w:r>
            <w:r w:rsidRPr="00340C77">
              <w:rPr>
                <w:noProof/>
                <w:webHidden/>
                <w:sz w:val="28"/>
                <w:szCs w:val="28"/>
              </w:rPr>
              <w:t>4</w:t>
            </w:r>
            <w:r w:rsidRPr="00340C77">
              <w:rPr>
                <w:noProof/>
                <w:webHidden/>
                <w:sz w:val="28"/>
                <w:szCs w:val="28"/>
              </w:rPr>
              <w:fldChar w:fldCharType="end"/>
            </w:r>
          </w:hyperlink>
        </w:p>
        <w:p w:rsidR="00160EC5" w:rsidRPr="001E5A13" w:rsidRDefault="00160EC5">
          <w:pPr>
            <w:rPr>
              <w:sz w:val="28"/>
              <w:szCs w:val="28"/>
            </w:rPr>
          </w:pPr>
          <w:r w:rsidRPr="00340C77">
            <w:rPr>
              <w:b/>
              <w:bCs/>
              <w:sz w:val="28"/>
              <w:szCs w:val="28"/>
            </w:rPr>
            <w:fldChar w:fldCharType="end"/>
          </w:r>
        </w:p>
        <w:bookmarkEnd w:id="0" w:displacedByCustomXml="next"/>
      </w:sdtContent>
    </w:sdt>
    <w:p w:rsidR="00160EC5" w:rsidRDefault="00160EC5">
      <w:pPr>
        <w:spacing w:after="160" w:afterAutospacing="0" w:line="259" w:lineRule="auto"/>
      </w:pPr>
      <w:r>
        <w:br w:type="page"/>
      </w:r>
    </w:p>
    <w:p w:rsidR="008376AE" w:rsidRPr="004B73B3" w:rsidRDefault="0056499F" w:rsidP="004B73B3">
      <w:pPr>
        <w:pStyle w:val="Encart"/>
        <w:spacing w:line="360" w:lineRule="auto"/>
        <w:rPr>
          <w:sz w:val="28"/>
          <w:szCs w:val="28"/>
        </w:rPr>
      </w:pPr>
      <w:r>
        <w:rPr>
          <w:sz w:val="28"/>
          <w:szCs w:val="28"/>
        </w:rPr>
        <w:lastRenderedPageBreak/>
        <w:t>L’</w:t>
      </w:r>
      <w:r w:rsidRPr="0056499F">
        <w:rPr>
          <w:sz w:val="28"/>
          <w:szCs w:val="28"/>
        </w:rPr>
        <w:t>accès à la culture et à la pratique artistique est crucial pour favoriser l’autodétermination, l’expression et la valorisation individuelle des personnes accompagnées. Le ou la référente culture est garante de cette accessibilité culturelle à toutes et tous</w:t>
      </w:r>
      <w:r>
        <w:rPr>
          <w:sz w:val="28"/>
          <w:szCs w:val="28"/>
        </w:rPr>
        <w:t>.</w:t>
      </w:r>
    </w:p>
    <w:p w:rsidR="004B73B3" w:rsidRPr="00A7757D" w:rsidRDefault="004B73B3" w:rsidP="00081081">
      <w:pPr>
        <w:spacing w:line="360" w:lineRule="auto"/>
        <w:rPr>
          <w:sz w:val="28"/>
          <w:szCs w:val="28"/>
        </w:rPr>
      </w:pPr>
    </w:p>
    <w:p w:rsidR="008376AE" w:rsidRPr="008B4A7E" w:rsidRDefault="0056499F" w:rsidP="00160EC5">
      <w:pPr>
        <w:pStyle w:val="Titre1"/>
        <w:numPr>
          <w:ilvl w:val="0"/>
          <w:numId w:val="11"/>
        </w:numPr>
        <w:spacing w:line="360" w:lineRule="auto"/>
      </w:pPr>
      <w:bookmarkStart w:id="1" w:name="_Toc168913489"/>
      <w:r>
        <w:t>Quelle est l’utilité de nommer un référent culture ?</w:t>
      </w:r>
      <w:bookmarkEnd w:id="1"/>
    </w:p>
    <w:p w:rsidR="0056499F" w:rsidRPr="0056499F" w:rsidRDefault="0056499F" w:rsidP="0056499F">
      <w:pPr>
        <w:numPr>
          <w:ilvl w:val="0"/>
          <w:numId w:val="13"/>
        </w:numPr>
        <w:spacing w:line="360" w:lineRule="auto"/>
        <w:rPr>
          <w:sz w:val="28"/>
          <w:szCs w:val="28"/>
        </w:rPr>
      </w:pPr>
      <w:r w:rsidRPr="0056499F">
        <w:rPr>
          <w:b/>
          <w:bCs/>
          <w:sz w:val="28"/>
          <w:szCs w:val="28"/>
        </w:rPr>
        <w:t>Les pratiques culturelles</w:t>
      </w:r>
      <w:r w:rsidRPr="0056499F">
        <w:rPr>
          <w:sz w:val="28"/>
          <w:szCs w:val="28"/>
        </w:rPr>
        <w:t xml:space="preserve"> au sein des EMS invitent à envisager différemment cet espace commun où évoluent le personnel et les personnes accompagnées.</w:t>
      </w:r>
    </w:p>
    <w:p w:rsidR="0056499F" w:rsidRPr="0056499F" w:rsidRDefault="0056499F" w:rsidP="0056499F">
      <w:pPr>
        <w:numPr>
          <w:ilvl w:val="0"/>
          <w:numId w:val="14"/>
        </w:numPr>
        <w:spacing w:line="360" w:lineRule="auto"/>
        <w:rPr>
          <w:sz w:val="28"/>
          <w:szCs w:val="28"/>
        </w:rPr>
      </w:pPr>
      <w:r w:rsidRPr="0056499F">
        <w:rPr>
          <w:sz w:val="28"/>
          <w:szCs w:val="28"/>
        </w:rPr>
        <w:t xml:space="preserve">Permettre aux résidents de s’exprimer, de découvrir autre chose et de se redécouvrir soi-même rend leur expérience au sein de l’établissement moins difficile. Les moments de manifestations culturelles sont également </w:t>
      </w:r>
      <w:r w:rsidRPr="0056499F">
        <w:rPr>
          <w:b/>
          <w:bCs/>
          <w:sz w:val="28"/>
          <w:szCs w:val="28"/>
        </w:rPr>
        <w:t>bénéfiques pour le personnel soignan</w:t>
      </w:r>
      <w:r w:rsidRPr="0056499F">
        <w:rPr>
          <w:sz w:val="28"/>
          <w:szCs w:val="28"/>
        </w:rPr>
        <w:t>t : pour un instant, la relation soignant-soigné change et les distinctions hiérarchiques disparaissent</w:t>
      </w:r>
      <w:r>
        <w:rPr>
          <w:sz w:val="28"/>
          <w:szCs w:val="28"/>
        </w:rPr>
        <w:t>.</w:t>
      </w:r>
      <w:r>
        <w:rPr>
          <w:rStyle w:val="Appelnotedebasdep"/>
          <w:sz w:val="28"/>
          <w:szCs w:val="28"/>
        </w:rPr>
        <w:footnoteReference w:id="1"/>
      </w:r>
    </w:p>
    <w:p w:rsidR="008B4A7E" w:rsidRDefault="0056499F" w:rsidP="007C23AC">
      <w:pPr>
        <w:numPr>
          <w:ilvl w:val="0"/>
          <w:numId w:val="15"/>
        </w:numPr>
        <w:spacing w:line="360" w:lineRule="auto"/>
        <w:rPr>
          <w:sz w:val="28"/>
          <w:szCs w:val="28"/>
        </w:rPr>
      </w:pPr>
      <w:r w:rsidRPr="0056499F">
        <w:rPr>
          <w:sz w:val="28"/>
          <w:szCs w:val="28"/>
        </w:rPr>
        <w:t xml:space="preserve">Le travail du référent culture participe à l’apparition d’un </w:t>
      </w:r>
      <w:r w:rsidRPr="0056499F">
        <w:rPr>
          <w:b/>
          <w:bCs/>
          <w:sz w:val="28"/>
          <w:szCs w:val="28"/>
        </w:rPr>
        <w:t xml:space="preserve">véritable sentiment d’appartenance à une communauté pour les résidents comme pour le personnel </w:t>
      </w:r>
      <w:r w:rsidRPr="0056499F">
        <w:rPr>
          <w:sz w:val="28"/>
          <w:szCs w:val="28"/>
        </w:rPr>
        <w:t xml:space="preserve">des EMS. Le partage d’une culture commune, l’accès à une offre culturelle commune, permet </w:t>
      </w:r>
      <w:r w:rsidRPr="0056499F">
        <w:rPr>
          <w:sz w:val="28"/>
          <w:szCs w:val="28"/>
        </w:rPr>
        <w:lastRenderedPageBreak/>
        <w:t>la vie en communauté ; l’établissement devient le lieu de vie, le foyer, d’une communauté</w:t>
      </w:r>
      <w:r>
        <w:rPr>
          <w:sz w:val="28"/>
          <w:szCs w:val="28"/>
        </w:rPr>
        <w:t>.</w:t>
      </w:r>
      <w:r>
        <w:rPr>
          <w:rStyle w:val="Appelnotedebasdep"/>
          <w:sz w:val="28"/>
          <w:szCs w:val="28"/>
        </w:rPr>
        <w:footnoteReference w:id="2"/>
      </w:r>
    </w:p>
    <w:p w:rsidR="0056499F" w:rsidRPr="0056499F" w:rsidRDefault="0056499F" w:rsidP="0056499F">
      <w:pPr>
        <w:pStyle w:val="Encart"/>
        <w:spacing w:line="360" w:lineRule="auto"/>
        <w:rPr>
          <w:sz w:val="28"/>
          <w:szCs w:val="28"/>
        </w:rPr>
      </w:pPr>
      <w:r w:rsidRPr="0056499F">
        <w:rPr>
          <w:sz w:val="28"/>
          <w:szCs w:val="28"/>
        </w:rPr>
        <w:t>Les activités culturelles et l’accès à l’art ont une influence sur le bien-être des résidents, l’art est aussi une forme de soins</w:t>
      </w:r>
      <w:r>
        <w:rPr>
          <w:sz w:val="28"/>
          <w:szCs w:val="28"/>
        </w:rPr>
        <w:t>.</w:t>
      </w:r>
      <w:r>
        <w:rPr>
          <w:rStyle w:val="Appelnotedebasdep"/>
          <w:sz w:val="28"/>
          <w:szCs w:val="28"/>
        </w:rPr>
        <w:footnoteReference w:id="3"/>
      </w:r>
    </w:p>
    <w:p w:rsidR="0056499F" w:rsidRPr="0056499F" w:rsidRDefault="0056499F" w:rsidP="0056499F">
      <w:pPr>
        <w:spacing w:line="360" w:lineRule="auto"/>
        <w:rPr>
          <w:sz w:val="28"/>
          <w:szCs w:val="28"/>
        </w:rPr>
      </w:pPr>
    </w:p>
    <w:p w:rsidR="0056499F" w:rsidRPr="0056499F" w:rsidRDefault="0056499F" w:rsidP="00081081">
      <w:pPr>
        <w:pStyle w:val="Titre1"/>
        <w:numPr>
          <w:ilvl w:val="0"/>
          <w:numId w:val="11"/>
        </w:numPr>
        <w:spacing w:line="360" w:lineRule="auto"/>
      </w:pPr>
      <w:bookmarkStart w:id="2" w:name="_Toc168913490"/>
      <w:r>
        <w:t>Qui nommer ?</w:t>
      </w:r>
      <w:bookmarkEnd w:id="2"/>
      <w:r>
        <w:t xml:space="preserve"> </w:t>
      </w:r>
    </w:p>
    <w:p w:rsidR="0056499F" w:rsidRPr="0056499F" w:rsidRDefault="0056499F" w:rsidP="0056499F">
      <w:pPr>
        <w:spacing w:line="360" w:lineRule="auto"/>
        <w:rPr>
          <w:sz w:val="28"/>
          <w:szCs w:val="28"/>
        </w:rPr>
      </w:pPr>
      <w:r>
        <w:rPr>
          <w:sz w:val="28"/>
          <w:szCs w:val="28"/>
        </w:rPr>
        <w:t>I</w:t>
      </w:r>
      <w:r w:rsidRPr="0056499F">
        <w:rPr>
          <w:sz w:val="28"/>
          <w:szCs w:val="28"/>
        </w:rPr>
        <w:t>l est possible de nommer, ou engager, une personne à temps plein en tant que référent culture, c’est à dire une personne volontaire, formée et ayant des compétences spécifiques. Cela nécessite idéalement un poste à part entière et une intégration de ses missions dans l’organisation de la structure.</w:t>
      </w:r>
    </w:p>
    <w:p w:rsidR="0056499F" w:rsidRPr="0056499F" w:rsidRDefault="0056499F" w:rsidP="0056499F">
      <w:pPr>
        <w:spacing w:line="360" w:lineRule="auto"/>
        <w:rPr>
          <w:sz w:val="28"/>
          <w:szCs w:val="28"/>
        </w:rPr>
      </w:pPr>
      <w:r w:rsidRPr="0056499F">
        <w:rPr>
          <w:sz w:val="28"/>
          <w:szCs w:val="28"/>
        </w:rPr>
        <w:t>À défaut, il existe deux alternatives : soit cette mission est confiée à un professionnel ayant déjà d’autres missions, soit le poste est mutualisé sur plusieurs établissements. Cette dernière solution présente plusieurs avantages. En plus de revêtir un intérêt financier, elle offre la possibilité de créer une politique culturelle territoriale commune qui lie les différents établissements médico-sociaux entre eux et les ancre dans leur territoire.</w:t>
      </w:r>
    </w:p>
    <w:p w:rsidR="0056499F" w:rsidRPr="0056499F" w:rsidRDefault="0056499F" w:rsidP="007C23AC">
      <w:pPr>
        <w:pStyle w:val="Titre1"/>
        <w:numPr>
          <w:ilvl w:val="0"/>
          <w:numId w:val="11"/>
        </w:numPr>
        <w:spacing w:line="360" w:lineRule="auto"/>
      </w:pPr>
      <w:bookmarkStart w:id="3" w:name="_Toc168913491"/>
      <w:r>
        <w:t>Quelles missions ?</w:t>
      </w:r>
      <w:bookmarkEnd w:id="3"/>
    </w:p>
    <w:p w:rsidR="0056499F" w:rsidRPr="0056499F" w:rsidRDefault="0056499F" w:rsidP="0056499F">
      <w:pPr>
        <w:spacing w:line="360" w:lineRule="auto"/>
        <w:rPr>
          <w:sz w:val="28"/>
          <w:szCs w:val="28"/>
        </w:rPr>
      </w:pPr>
      <w:r w:rsidRPr="0056499F">
        <w:rPr>
          <w:sz w:val="28"/>
          <w:szCs w:val="28"/>
        </w:rPr>
        <w:lastRenderedPageBreak/>
        <w:t xml:space="preserve">Le référent culture assure </w:t>
      </w:r>
      <w:r w:rsidRPr="0056499F">
        <w:rPr>
          <w:b/>
          <w:bCs/>
          <w:sz w:val="28"/>
          <w:szCs w:val="28"/>
        </w:rPr>
        <w:t>le lien entre son établissement médico-social et les structures culturelles</w:t>
      </w:r>
      <w:r w:rsidRPr="0056499F">
        <w:rPr>
          <w:sz w:val="28"/>
          <w:szCs w:val="28"/>
        </w:rPr>
        <w:t xml:space="preserve">. Il est aussi en charge de la </w:t>
      </w:r>
      <w:r w:rsidRPr="0056499F">
        <w:rPr>
          <w:b/>
          <w:bCs/>
          <w:sz w:val="28"/>
          <w:szCs w:val="28"/>
        </w:rPr>
        <w:t>programmation des actions culturelles</w:t>
      </w:r>
      <w:r w:rsidRPr="0056499F">
        <w:rPr>
          <w:sz w:val="28"/>
          <w:szCs w:val="28"/>
        </w:rPr>
        <w:t xml:space="preserve"> de sa structure. C’est lui qui engage et suit les partenariats avec les lieux culturels, recense les informations sur les sorties culturelles et les opportunités de pratique artistique.</w:t>
      </w:r>
    </w:p>
    <w:p w:rsidR="0056499F" w:rsidRPr="0056499F" w:rsidRDefault="0056499F" w:rsidP="0056499F">
      <w:pPr>
        <w:spacing w:line="360" w:lineRule="auto"/>
        <w:rPr>
          <w:sz w:val="28"/>
          <w:szCs w:val="28"/>
        </w:rPr>
      </w:pPr>
      <w:r w:rsidRPr="0056499F">
        <w:rPr>
          <w:sz w:val="28"/>
          <w:szCs w:val="28"/>
        </w:rPr>
        <w:t xml:space="preserve">La présence d’un référent culture ne se résume pas simplement à un projet « d’animation » de l’établissement. Son rôle est crucial dans la définition du </w:t>
      </w:r>
      <w:r w:rsidRPr="0056499F">
        <w:rPr>
          <w:b/>
          <w:bCs/>
          <w:sz w:val="28"/>
          <w:szCs w:val="28"/>
        </w:rPr>
        <w:t>volet culture</w:t>
      </w:r>
      <w:r w:rsidRPr="0056499F">
        <w:rPr>
          <w:sz w:val="28"/>
          <w:szCs w:val="28"/>
        </w:rPr>
        <w:t>l de l’établissement. Ce volet peut s’étaler sur plusieurs années (identique à celle du projet d’établissement dans lequel il s’inscrit). Il fait référence aux axes du projet d’établissement en tant qu’objectifs et indicateurs de réussite, liste les partenariats de l’établissement avec les structures culturelles et présente les projets de l’établissement.</w:t>
      </w:r>
    </w:p>
    <w:p w:rsidR="0056499F" w:rsidRPr="0056499F" w:rsidRDefault="0056499F" w:rsidP="0056499F">
      <w:pPr>
        <w:spacing w:line="360" w:lineRule="auto"/>
        <w:rPr>
          <w:sz w:val="28"/>
          <w:szCs w:val="28"/>
        </w:rPr>
      </w:pPr>
      <w:r w:rsidRPr="0056499F">
        <w:rPr>
          <w:sz w:val="28"/>
          <w:szCs w:val="28"/>
        </w:rPr>
        <w:t xml:space="preserve">Le référent est également appelé à </w:t>
      </w:r>
      <w:r w:rsidRPr="0056499F">
        <w:rPr>
          <w:b/>
          <w:bCs/>
          <w:sz w:val="28"/>
          <w:szCs w:val="28"/>
        </w:rPr>
        <w:t>développer une connaissance des dispositifs de financements</w:t>
      </w:r>
      <w:r w:rsidRPr="0056499F">
        <w:rPr>
          <w:sz w:val="28"/>
          <w:szCs w:val="28"/>
        </w:rPr>
        <w:t xml:space="preserve"> qui pourraient assurer la réalisation des actions culturelles de l’établissement.</w:t>
      </w:r>
    </w:p>
    <w:p w:rsidR="00A10013" w:rsidRPr="0056499F" w:rsidRDefault="0056499F" w:rsidP="00081081">
      <w:pPr>
        <w:spacing w:line="360" w:lineRule="auto"/>
        <w:rPr>
          <w:sz w:val="28"/>
          <w:szCs w:val="28"/>
        </w:rPr>
      </w:pPr>
      <w:r w:rsidRPr="0056499F">
        <w:rPr>
          <w:sz w:val="28"/>
          <w:szCs w:val="28"/>
        </w:rPr>
        <w:t xml:space="preserve">Enfin, il </w:t>
      </w:r>
      <w:r w:rsidRPr="0056499F">
        <w:rPr>
          <w:b/>
          <w:bCs/>
          <w:sz w:val="28"/>
          <w:szCs w:val="28"/>
        </w:rPr>
        <w:t>sensibilise le personnel</w:t>
      </w:r>
      <w:r w:rsidRPr="0056499F">
        <w:rPr>
          <w:sz w:val="28"/>
          <w:szCs w:val="28"/>
        </w:rPr>
        <w:t xml:space="preserve"> à l’accessibilité culturelle et à l’enseignement artistique et culturel. </w:t>
      </w:r>
    </w:p>
    <w:p w:rsidR="00787664" w:rsidRPr="007C23AC" w:rsidRDefault="008376AE" w:rsidP="007C23AC">
      <w:pPr>
        <w:pStyle w:val="Titre1"/>
        <w:numPr>
          <w:ilvl w:val="0"/>
          <w:numId w:val="11"/>
        </w:numPr>
      </w:pPr>
      <w:bookmarkStart w:id="4" w:name="_Toc168913492"/>
      <w:r w:rsidRPr="007C23AC">
        <w:t>Ressources</w:t>
      </w:r>
      <w:bookmarkEnd w:id="4"/>
      <w:r w:rsidR="00081081" w:rsidRPr="007C23AC">
        <w:t> </w:t>
      </w:r>
    </w:p>
    <w:p w:rsidR="0056499F" w:rsidRPr="0056499F" w:rsidRDefault="00340C77" w:rsidP="0056499F">
      <w:pPr>
        <w:pStyle w:val="Paragraphedeliste"/>
        <w:numPr>
          <w:ilvl w:val="0"/>
          <w:numId w:val="12"/>
        </w:numPr>
        <w:spacing w:line="360" w:lineRule="auto"/>
        <w:rPr>
          <w:sz w:val="28"/>
          <w:szCs w:val="28"/>
        </w:rPr>
      </w:pPr>
      <w:hyperlink r:id="rId8" w:history="1">
        <w:r w:rsidR="0056499F" w:rsidRPr="00A07DBC">
          <w:rPr>
            <w:rStyle w:val="Lienhypertexte"/>
            <w:sz w:val="28"/>
            <w:szCs w:val="28"/>
          </w:rPr>
          <w:t>Handicap, pratiques culturelles et participation sociale</w:t>
        </w:r>
      </w:hyperlink>
      <w:r w:rsidR="0085491C">
        <w:rPr>
          <w:rStyle w:val="Lienhypertexte"/>
          <w:sz w:val="28"/>
          <w:szCs w:val="28"/>
        </w:rPr>
        <w:t xml:space="preserve"> (firah.org)</w:t>
      </w:r>
      <w:r w:rsidR="0056499F" w:rsidRPr="0056499F">
        <w:rPr>
          <w:sz w:val="28"/>
          <w:szCs w:val="28"/>
        </w:rPr>
        <w:t>, Dubois, 2013</w:t>
      </w:r>
    </w:p>
    <w:p w:rsidR="0085491C" w:rsidRDefault="00340C77" w:rsidP="0006127C">
      <w:pPr>
        <w:pStyle w:val="Paragraphedeliste"/>
        <w:numPr>
          <w:ilvl w:val="0"/>
          <w:numId w:val="12"/>
        </w:numPr>
        <w:spacing w:line="360" w:lineRule="auto"/>
        <w:rPr>
          <w:sz w:val="28"/>
          <w:szCs w:val="28"/>
        </w:rPr>
      </w:pPr>
      <w:hyperlink r:id="rId9" w:history="1">
        <w:r w:rsidR="0056499F" w:rsidRPr="0085491C">
          <w:rPr>
            <w:rStyle w:val="Lienhypertexte"/>
            <w:sz w:val="28"/>
            <w:szCs w:val="28"/>
          </w:rPr>
          <w:t>L’art et la culture à l’hôpital, un enjeu éthique ?</w:t>
        </w:r>
      </w:hyperlink>
      <w:r w:rsidR="0085491C" w:rsidRPr="0085491C">
        <w:rPr>
          <w:rStyle w:val="Lienhypertexte"/>
          <w:sz w:val="28"/>
          <w:szCs w:val="28"/>
        </w:rPr>
        <w:t xml:space="preserve"> (swisshealthweb.ch)</w:t>
      </w:r>
      <w:r w:rsidR="0056499F" w:rsidRPr="0085491C">
        <w:rPr>
          <w:sz w:val="28"/>
          <w:szCs w:val="28"/>
        </w:rPr>
        <w:t xml:space="preserve"> </w:t>
      </w:r>
      <w:proofErr w:type="spellStart"/>
      <w:r w:rsidR="0056499F" w:rsidRPr="0085491C">
        <w:rPr>
          <w:sz w:val="28"/>
          <w:szCs w:val="28"/>
        </w:rPr>
        <w:t>Benaroyo</w:t>
      </w:r>
      <w:proofErr w:type="spellEnd"/>
      <w:r w:rsidR="0056499F" w:rsidRPr="0085491C">
        <w:rPr>
          <w:sz w:val="28"/>
          <w:szCs w:val="28"/>
        </w:rPr>
        <w:t xml:space="preserve">, 2015 </w:t>
      </w:r>
    </w:p>
    <w:p w:rsidR="0085491C" w:rsidRPr="0085491C" w:rsidRDefault="00340C77" w:rsidP="0085491C">
      <w:pPr>
        <w:pStyle w:val="Paragraphedeliste"/>
        <w:numPr>
          <w:ilvl w:val="0"/>
          <w:numId w:val="12"/>
        </w:numPr>
        <w:spacing w:line="360" w:lineRule="auto"/>
        <w:rPr>
          <w:sz w:val="28"/>
          <w:szCs w:val="28"/>
        </w:rPr>
      </w:pPr>
      <w:hyperlink r:id="rId10" w:history="1">
        <w:r w:rsidR="0056499F" w:rsidRPr="0085491C">
          <w:rPr>
            <w:rStyle w:val="Lienhypertexte"/>
            <w:sz w:val="28"/>
            <w:szCs w:val="28"/>
          </w:rPr>
          <w:t>L’activité de référent culturel à l’hôpital ou « la construction de l’identité d’une profession-fantasme en Rhône</w:t>
        </w:r>
        <w:r w:rsidR="0056499F" w:rsidRPr="0085491C">
          <w:rPr>
            <w:rStyle w:val="Lienhypertexte"/>
            <w:rFonts w:ascii="Cambria Math" w:hAnsi="Cambria Math" w:cs="Cambria Math"/>
            <w:sz w:val="28"/>
            <w:szCs w:val="28"/>
          </w:rPr>
          <w:t>‐</w:t>
        </w:r>
        <w:r w:rsidR="0056499F" w:rsidRPr="0085491C">
          <w:rPr>
            <w:rStyle w:val="Lienhypertexte"/>
            <w:sz w:val="28"/>
            <w:szCs w:val="28"/>
          </w:rPr>
          <w:t>Alpes »</w:t>
        </w:r>
      </w:hyperlink>
      <w:r w:rsidR="0085491C">
        <w:rPr>
          <w:rStyle w:val="Lienhypertexte"/>
          <w:sz w:val="28"/>
          <w:szCs w:val="28"/>
        </w:rPr>
        <w:t xml:space="preserve"> (interstices-auvergnerhonealpes.fr)</w:t>
      </w:r>
      <w:r w:rsidR="0056499F" w:rsidRPr="0085491C">
        <w:rPr>
          <w:sz w:val="28"/>
          <w:szCs w:val="28"/>
        </w:rPr>
        <w:t xml:space="preserve">, </w:t>
      </w:r>
      <w:proofErr w:type="spellStart"/>
      <w:r w:rsidR="0056499F" w:rsidRPr="0085491C">
        <w:rPr>
          <w:sz w:val="28"/>
          <w:szCs w:val="28"/>
        </w:rPr>
        <w:t>Véricel</w:t>
      </w:r>
      <w:proofErr w:type="spellEnd"/>
      <w:r w:rsidR="0056499F" w:rsidRPr="0085491C">
        <w:rPr>
          <w:sz w:val="28"/>
          <w:szCs w:val="28"/>
        </w:rPr>
        <w:t xml:space="preserve">, 2014 </w:t>
      </w:r>
    </w:p>
    <w:p w:rsidR="0056499F" w:rsidRPr="0056499F" w:rsidRDefault="00340C77" w:rsidP="0056499F">
      <w:pPr>
        <w:pStyle w:val="Paragraphedeliste"/>
        <w:numPr>
          <w:ilvl w:val="0"/>
          <w:numId w:val="12"/>
        </w:numPr>
        <w:spacing w:line="360" w:lineRule="auto"/>
        <w:rPr>
          <w:sz w:val="28"/>
          <w:szCs w:val="28"/>
        </w:rPr>
      </w:pPr>
      <w:hyperlink r:id="rId11" w:anchor="131" w:history="1">
        <w:r w:rsidR="0056499F" w:rsidRPr="00A07DBC">
          <w:rPr>
            <w:rStyle w:val="Lienhypertexte"/>
            <w:sz w:val="28"/>
            <w:szCs w:val="28"/>
          </w:rPr>
          <w:t>Formation professionnelle : “Devenir référent culture” sur le site de Souffleurs de Sens</w:t>
        </w:r>
      </w:hyperlink>
      <w:r w:rsidR="0056499F" w:rsidRPr="0056499F">
        <w:rPr>
          <w:sz w:val="28"/>
          <w:szCs w:val="28"/>
        </w:rPr>
        <w:t xml:space="preserve"> (onglet formations-sensibilisations)</w:t>
      </w:r>
    </w:p>
    <w:p w:rsidR="007C23AC" w:rsidRDefault="007C23AC" w:rsidP="007C23AC">
      <w:pPr>
        <w:spacing w:line="360" w:lineRule="auto"/>
        <w:rPr>
          <w:sz w:val="28"/>
          <w:szCs w:val="28"/>
        </w:rPr>
      </w:pPr>
    </w:p>
    <w:p w:rsidR="007C23AC" w:rsidRPr="00A7757D" w:rsidRDefault="007C23AC" w:rsidP="007C23AC">
      <w:pPr>
        <w:spacing w:line="360" w:lineRule="auto"/>
        <w:rPr>
          <w:sz w:val="28"/>
          <w:szCs w:val="28"/>
        </w:rPr>
      </w:pPr>
      <w:r w:rsidRPr="00A7757D">
        <w:rPr>
          <w:sz w:val="28"/>
          <w:szCs w:val="28"/>
        </w:rPr>
        <w:t xml:space="preserve">Pour plus d’informations, contacter le pôle Art et Handicap 75 de Souffleurs de Sens : </w:t>
      </w:r>
      <w:hyperlink r:id="rId12" w:history="1">
        <w:r w:rsidRPr="000C75DB">
          <w:rPr>
            <w:rStyle w:val="Lienhypertexte"/>
            <w:sz w:val="28"/>
            <w:szCs w:val="28"/>
          </w:rPr>
          <w:t>contact@souffleursdesens.org</w:t>
        </w:r>
      </w:hyperlink>
      <w:r>
        <w:rPr>
          <w:sz w:val="28"/>
          <w:szCs w:val="28"/>
        </w:rPr>
        <w:t xml:space="preserve"> </w:t>
      </w:r>
    </w:p>
    <w:p w:rsidR="007C23AC" w:rsidRPr="007C23AC" w:rsidRDefault="007C23AC" w:rsidP="007C23AC">
      <w:pPr>
        <w:spacing w:line="360" w:lineRule="auto"/>
        <w:rPr>
          <w:sz w:val="28"/>
          <w:szCs w:val="28"/>
        </w:rPr>
      </w:pPr>
    </w:p>
    <w:sectPr w:rsidR="007C23AC" w:rsidRPr="007C23AC" w:rsidSect="00E14917">
      <w:headerReference w:type="default" r:id="rId13"/>
      <w:footerReference w:type="default" r:id="rId14"/>
      <w:headerReference w:type="first" r:id="rId15"/>
      <w:footerReference w:type="first" r:id="rId16"/>
      <w:pgSz w:w="11906" w:h="16838"/>
      <w:pgMar w:top="1530" w:right="1417" w:bottom="1417" w:left="1417" w:header="850"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831" w:rsidRDefault="00813831" w:rsidP="00813831">
      <w:pPr>
        <w:spacing w:after="0"/>
      </w:pPr>
      <w:r>
        <w:separator/>
      </w:r>
    </w:p>
  </w:endnote>
  <w:endnote w:type="continuationSeparator" w:id="0">
    <w:p w:rsidR="00813831" w:rsidRDefault="00813831" w:rsidP="008138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altName w:val="Mangal"/>
    <w:charset w:val="00"/>
    <w:family w:val="auto"/>
    <w:pitch w:val="variable"/>
    <w:sig w:usb0="00008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8402722"/>
      <w:docPartObj>
        <w:docPartGallery w:val="Page Numbers (Bottom of Page)"/>
        <w:docPartUnique/>
      </w:docPartObj>
    </w:sdtPr>
    <w:sdtEndPr/>
    <w:sdtContent>
      <w:p w:rsidR="00160EC5" w:rsidRDefault="00160EC5">
        <w:pPr>
          <w:pStyle w:val="Pieddepage"/>
          <w:jc w:val="right"/>
        </w:pPr>
        <w:r>
          <w:fldChar w:fldCharType="begin"/>
        </w:r>
        <w:r>
          <w:instrText>PAGE   \* MERGEFORMAT</w:instrText>
        </w:r>
        <w:r>
          <w:fldChar w:fldCharType="separate"/>
        </w:r>
        <w:r>
          <w:t>2</w:t>
        </w:r>
        <w:r>
          <w:fldChar w:fldCharType="end"/>
        </w:r>
      </w:p>
    </w:sdtContent>
  </w:sdt>
  <w:p w:rsidR="00160EC5" w:rsidRDefault="00160E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436651"/>
      <w:docPartObj>
        <w:docPartGallery w:val="Page Numbers (Bottom of Page)"/>
        <w:docPartUnique/>
      </w:docPartObj>
    </w:sdtPr>
    <w:sdtEndPr/>
    <w:sdtContent>
      <w:p w:rsidR="00160EC5" w:rsidRDefault="00160EC5">
        <w:pPr>
          <w:pStyle w:val="Pieddepage"/>
          <w:jc w:val="right"/>
        </w:pPr>
        <w:r>
          <w:fldChar w:fldCharType="begin"/>
        </w:r>
        <w:r>
          <w:instrText>PAGE   \* MERGEFORMAT</w:instrText>
        </w:r>
        <w:r>
          <w:fldChar w:fldCharType="separate"/>
        </w:r>
        <w:r>
          <w:t>2</w:t>
        </w:r>
        <w:r>
          <w:fldChar w:fldCharType="end"/>
        </w:r>
      </w:p>
    </w:sdtContent>
  </w:sdt>
  <w:p w:rsidR="00160EC5" w:rsidRDefault="00160E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831" w:rsidRDefault="00813831" w:rsidP="00813831">
      <w:pPr>
        <w:spacing w:after="0"/>
      </w:pPr>
      <w:r>
        <w:separator/>
      </w:r>
    </w:p>
  </w:footnote>
  <w:footnote w:type="continuationSeparator" w:id="0">
    <w:p w:rsidR="00813831" w:rsidRDefault="00813831" w:rsidP="00813831">
      <w:pPr>
        <w:spacing w:after="0"/>
      </w:pPr>
      <w:r>
        <w:continuationSeparator/>
      </w:r>
    </w:p>
  </w:footnote>
  <w:footnote w:id="1">
    <w:p w:rsidR="0056499F" w:rsidRPr="0056499F" w:rsidRDefault="0056499F">
      <w:pPr>
        <w:pStyle w:val="Notedebasdepage"/>
        <w:rPr>
          <w:sz w:val="24"/>
          <w:szCs w:val="24"/>
        </w:rPr>
      </w:pPr>
      <w:r w:rsidRPr="0056499F">
        <w:rPr>
          <w:rStyle w:val="Appelnotedebasdep"/>
          <w:sz w:val="24"/>
          <w:szCs w:val="24"/>
        </w:rPr>
        <w:footnoteRef/>
      </w:r>
      <w:r w:rsidRPr="0056499F">
        <w:rPr>
          <w:sz w:val="24"/>
          <w:szCs w:val="24"/>
        </w:rPr>
        <w:t xml:space="preserve"> </w:t>
      </w:r>
      <w:r w:rsidRPr="0056499F">
        <w:rPr>
          <w:rStyle w:val="oypena"/>
          <w:color w:val="000000"/>
          <w:sz w:val="24"/>
          <w:szCs w:val="24"/>
        </w:rPr>
        <w:t>Atelier culturel et hôpital psychiatrique : Enjeux et retombées d’un dispositif de médiation culturelle au sein du programme « Culture à l’hôpital », Costes, Culture &amp; Musées n°17, 2011</w:t>
      </w:r>
    </w:p>
  </w:footnote>
  <w:footnote w:id="2">
    <w:p w:rsidR="0056499F" w:rsidRPr="0056499F" w:rsidRDefault="0056499F">
      <w:pPr>
        <w:pStyle w:val="Notedebasdepage"/>
        <w:rPr>
          <w:sz w:val="24"/>
          <w:szCs w:val="24"/>
        </w:rPr>
      </w:pPr>
      <w:r w:rsidRPr="0056499F">
        <w:rPr>
          <w:rStyle w:val="Appelnotedebasdep"/>
          <w:sz w:val="24"/>
          <w:szCs w:val="24"/>
        </w:rPr>
        <w:footnoteRef/>
      </w:r>
      <w:r w:rsidRPr="0056499F">
        <w:rPr>
          <w:sz w:val="24"/>
          <w:szCs w:val="24"/>
        </w:rPr>
        <w:t xml:space="preserve"> </w:t>
      </w:r>
      <w:r w:rsidRPr="0056499F">
        <w:rPr>
          <w:rStyle w:val="oypena"/>
          <w:color w:val="000000"/>
          <w:sz w:val="24"/>
          <w:szCs w:val="24"/>
        </w:rPr>
        <w:t>Séminaire : Culture et Hôpital : des compétences, des projets de qualité, Ministère de la Santé, 2004</w:t>
      </w:r>
    </w:p>
  </w:footnote>
  <w:footnote w:id="3">
    <w:p w:rsidR="0056499F" w:rsidRPr="0056499F" w:rsidRDefault="0056499F">
      <w:pPr>
        <w:pStyle w:val="Notedebasdepage"/>
        <w:rPr>
          <w:sz w:val="24"/>
          <w:szCs w:val="24"/>
        </w:rPr>
      </w:pPr>
      <w:r w:rsidRPr="0056499F">
        <w:rPr>
          <w:rStyle w:val="Appelnotedebasdep"/>
          <w:sz w:val="24"/>
          <w:szCs w:val="24"/>
        </w:rPr>
        <w:footnoteRef/>
      </w:r>
      <w:r w:rsidRPr="0056499F">
        <w:rPr>
          <w:sz w:val="24"/>
          <w:szCs w:val="24"/>
        </w:rPr>
        <w:t xml:space="preserve"> </w:t>
      </w:r>
      <w:r w:rsidRPr="0056499F">
        <w:rPr>
          <w:rStyle w:val="oypena"/>
          <w:color w:val="000000"/>
          <w:sz w:val="24"/>
          <w:szCs w:val="24"/>
        </w:rPr>
        <w:t>Conférence : L’art et la culture à l’hôpital, un enjeu éthique ? Benaroyo,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EC5" w:rsidRDefault="00160EC5">
    <w:pPr>
      <w:pStyle w:val="En-tte"/>
    </w:pPr>
    <w:r>
      <w:rPr>
        <w:noProof/>
      </w:rPr>
      <w:drawing>
        <wp:anchor distT="0" distB="0" distL="114300" distR="114300" simplePos="0" relativeHeight="251658240" behindDoc="1" locked="0" layoutInCell="1" allowOverlap="1" wp14:anchorId="4A32EB53">
          <wp:simplePos x="0" y="0"/>
          <wp:positionH relativeFrom="column">
            <wp:posOffset>2048247</wp:posOffset>
          </wp:positionH>
          <wp:positionV relativeFrom="paragraph">
            <wp:posOffset>-240293</wp:posOffset>
          </wp:positionV>
          <wp:extent cx="945283" cy="598849"/>
          <wp:effectExtent l="0" t="0" r="7620" b="0"/>
          <wp:wrapTight wrapText="bothSides">
            <wp:wrapPolygon edited="0">
              <wp:start x="0" y="0"/>
              <wp:lineTo x="0" y="20615"/>
              <wp:lineTo x="21339" y="20615"/>
              <wp:lineTo x="21339"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283" cy="598849"/>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5D4" w:rsidRDefault="007525D4" w:rsidP="007525D4">
    <w:pPr>
      <w:pStyle w:val="En-tte"/>
      <w:tabs>
        <w:tab w:val="clear" w:pos="4536"/>
        <w:tab w:val="clear" w:pos="9072"/>
        <w:tab w:val="left" w:pos="6068"/>
      </w:tabs>
      <w:jc w:val="center"/>
    </w:pPr>
    <w:r>
      <w:rPr>
        <w:noProof/>
      </w:rPr>
      <w:drawing>
        <wp:inline distT="0" distB="0" distL="0" distR="0">
          <wp:extent cx="1140489" cy="720000"/>
          <wp:effectExtent l="0" t="0" r="2540" b="444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OUFFLEURS DE SENS_LOGO_NOIR.jpg"/>
                  <pic:cNvPicPr/>
                </pic:nvPicPr>
                <pic:blipFill>
                  <a:blip r:embed="rId1">
                    <a:extLst>
                      <a:ext uri="{28A0092B-C50C-407E-A947-70E740481C1C}">
                        <a14:useLocalDpi xmlns:a14="http://schemas.microsoft.com/office/drawing/2010/main" val="0"/>
                      </a:ext>
                    </a:extLst>
                  </a:blip>
                  <a:stretch>
                    <a:fillRect/>
                  </a:stretch>
                </pic:blipFill>
                <pic:spPr>
                  <a:xfrm>
                    <a:off x="0" y="0"/>
                    <a:ext cx="1140489"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A577D"/>
    <w:multiLevelType w:val="hybridMultilevel"/>
    <w:tmpl w:val="40045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3A3DA2"/>
    <w:multiLevelType w:val="hybridMultilevel"/>
    <w:tmpl w:val="53F45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C82BC8"/>
    <w:multiLevelType w:val="hybridMultilevel"/>
    <w:tmpl w:val="83806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932FE6"/>
    <w:multiLevelType w:val="multilevel"/>
    <w:tmpl w:val="87DA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84263C"/>
    <w:multiLevelType w:val="hybridMultilevel"/>
    <w:tmpl w:val="1B502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726508"/>
    <w:multiLevelType w:val="multilevel"/>
    <w:tmpl w:val="040C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5D59C1"/>
    <w:multiLevelType w:val="multilevel"/>
    <w:tmpl w:val="22D8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3161C"/>
    <w:multiLevelType w:val="multilevel"/>
    <w:tmpl w:val="D408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F2EA6"/>
    <w:multiLevelType w:val="hybridMultilevel"/>
    <w:tmpl w:val="9D241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64504C"/>
    <w:multiLevelType w:val="multilevel"/>
    <w:tmpl w:val="80D0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1B2167"/>
    <w:multiLevelType w:val="hybridMultilevel"/>
    <w:tmpl w:val="396EA8E8"/>
    <w:lvl w:ilvl="0" w:tplc="9A5663B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171D93"/>
    <w:multiLevelType w:val="hybridMultilevel"/>
    <w:tmpl w:val="983E1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FC2C27"/>
    <w:multiLevelType w:val="hybridMultilevel"/>
    <w:tmpl w:val="2B887E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C60B4D"/>
    <w:multiLevelType w:val="hybridMultilevel"/>
    <w:tmpl w:val="59021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366AE0"/>
    <w:multiLevelType w:val="hybridMultilevel"/>
    <w:tmpl w:val="B9B4B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3"/>
  </w:num>
  <w:num w:numId="4">
    <w:abstractNumId w:val="11"/>
  </w:num>
  <w:num w:numId="5">
    <w:abstractNumId w:val="1"/>
  </w:num>
  <w:num w:numId="6">
    <w:abstractNumId w:val="4"/>
  </w:num>
  <w:num w:numId="7">
    <w:abstractNumId w:val="12"/>
  </w:num>
  <w:num w:numId="8">
    <w:abstractNumId w:val="8"/>
  </w:num>
  <w:num w:numId="9">
    <w:abstractNumId w:val="2"/>
  </w:num>
  <w:num w:numId="10">
    <w:abstractNumId w:val="10"/>
  </w:num>
  <w:num w:numId="11">
    <w:abstractNumId w:val="5"/>
  </w:num>
  <w:num w:numId="12">
    <w:abstractNumId w:val="6"/>
  </w:num>
  <w:num w:numId="13">
    <w:abstractNumId w:val="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AE"/>
    <w:rsid w:val="00081081"/>
    <w:rsid w:val="000878B5"/>
    <w:rsid w:val="00154A01"/>
    <w:rsid w:val="00160EC5"/>
    <w:rsid w:val="001B2D71"/>
    <w:rsid w:val="001E5A13"/>
    <w:rsid w:val="002252D1"/>
    <w:rsid w:val="00340C77"/>
    <w:rsid w:val="00433FAC"/>
    <w:rsid w:val="004B73B3"/>
    <w:rsid w:val="0056499F"/>
    <w:rsid w:val="007525D4"/>
    <w:rsid w:val="00787664"/>
    <w:rsid w:val="007C23AC"/>
    <w:rsid w:val="00813831"/>
    <w:rsid w:val="008376AE"/>
    <w:rsid w:val="0085491C"/>
    <w:rsid w:val="008B4A7E"/>
    <w:rsid w:val="00A07DBC"/>
    <w:rsid w:val="00A10013"/>
    <w:rsid w:val="00A7757D"/>
    <w:rsid w:val="00E14917"/>
    <w:rsid w:val="00EB38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3D93CD7"/>
  <w15:chartTrackingRefBased/>
  <w15:docId w15:val="{B880E0D9-D441-4A81-964A-2722BAE9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A01"/>
    <w:pPr>
      <w:spacing w:after="100" w:afterAutospacing="1" w:line="240" w:lineRule="auto"/>
    </w:pPr>
    <w:rPr>
      <w:rFonts w:ascii="Arial" w:eastAsia="Times New Roman" w:hAnsi="Arial" w:cs="Arial"/>
      <w:sz w:val="24"/>
      <w:szCs w:val="24"/>
      <w:lang w:eastAsia="fr-FR"/>
    </w:rPr>
  </w:style>
  <w:style w:type="paragraph" w:styleId="Titre1">
    <w:name w:val="heading 1"/>
    <w:basedOn w:val="NormalWeb"/>
    <w:next w:val="Normal"/>
    <w:link w:val="Titre1Car"/>
    <w:uiPriority w:val="9"/>
    <w:qFormat/>
    <w:rsid w:val="008B4A7E"/>
    <w:pPr>
      <w:shd w:val="clear" w:color="auto" w:fill="535ECB"/>
      <w:spacing w:before="0" w:beforeAutospacing="0"/>
      <w:outlineLvl w:val="0"/>
    </w:pPr>
    <w:rPr>
      <w:rFonts w:ascii="Arial" w:hAnsi="Arial" w:cs="Arial"/>
      <w:color w:val="FFFFFF" w:themeColor="background1"/>
      <w:sz w:val="36"/>
      <w:szCs w:val="36"/>
    </w:rPr>
  </w:style>
  <w:style w:type="paragraph" w:styleId="Titre2">
    <w:name w:val="heading 2"/>
    <w:basedOn w:val="NormalWeb"/>
    <w:next w:val="Normal"/>
    <w:link w:val="Titre2Car"/>
    <w:uiPriority w:val="9"/>
    <w:unhideWhenUsed/>
    <w:qFormat/>
    <w:rsid w:val="008B4A7E"/>
    <w:pPr>
      <w:spacing w:before="0" w:beforeAutospacing="0"/>
      <w:outlineLvl w:val="1"/>
    </w:pPr>
    <w:rPr>
      <w:rFonts w:ascii="Arial" w:hAnsi="Arial" w:cs="Arial"/>
      <w:color w:val="535ECB"/>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link w:val="NormalWebCar"/>
    <w:uiPriority w:val="99"/>
    <w:unhideWhenUsed/>
    <w:rsid w:val="008376AE"/>
    <w:pPr>
      <w:spacing w:before="100" w:beforeAutospacing="1"/>
    </w:pPr>
    <w:rPr>
      <w:rFonts w:ascii="Times New Roman" w:hAnsi="Times New Roman" w:cs="Times New Roman"/>
    </w:rPr>
  </w:style>
  <w:style w:type="paragraph" w:styleId="Titre">
    <w:name w:val="Title"/>
    <w:basedOn w:val="Normal"/>
    <w:next w:val="Normal"/>
    <w:link w:val="TitreCar"/>
    <w:uiPriority w:val="10"/>
    <w:qFormat/>
    <w:rsid w:val="002252D1"/>
    <w:pPr>
      <w:shd w:val="clear" w:color="auto" w:fill="A8C7FE"/>
      <w:spacing w:after="240"/>
      <w:contextualSpacing/>
    </w:pPr>
    <w:rPr>
      <w:rFonts w:asciiTheme="majorHAnsi" w:eastAsiaTheme="majorEastAsia" w:hAnsiTheme="majorHAnsi" w:cstheme="majorBidi"/>
      <w:spacing w:val="-10"/>
      <w:kern w:val="28"/>
      <w:sz w:val="45"/>
      <w:szCs w:val="45"/>
    </w:rPr>
  </w:style>
  <w:style w:type="character" w:customStyle="1" w:styleId="TitreCar">
    <w:name w:val="Titre Car"/>
    <w:basedOn w:val="Policepardfaut"/>
    <w:link w:val="Titre"/>
    <w:uiPriority w:val="10"/>
    <w:rsid w:val="002252D1"/>
    <w:rPr>
      <w:rFonts w:asciiTheme="majorHAnsi" w:eastAsiaTheme="majorEastAsia" w:hAnsiTheme="majorHAnsi" w:cstheme="majorBidi"/>
      <w:spacing w:val="-10"/>
      <w:kern w:val="28"/>
      <w:sz w:val="45"/>
      <w:szCs w:val="45"/>
      <w:shd w:val="clear" w:color="auto" w:fill="A8C7FE"/>
    </w:rPr>
  </w:style>
  <w:style w:type="paragraph" w:customStyle="1" w:styleId="Encart">
    <w:name w:val="Encart"/>
    <w:basedOn w:val="Normal"/>
    <w:link w:val="EncartCar"/>
    <w:qFormat/>
    <w:rsid w:val="002252D1"/>
    <w:pPr>
      <w:shd w:val="clear" w:color="auto" w:fill="D9D9D9"/>
    </w:pPr>
  </w:style>
  <w:style w:type="character" w:customStyle="1" w:styleId="Titre1Car">
    <w:name w:val="Titre 1 Car"/>
    <w:basedOn w:val="Policepardfaut"/>
    <w:link w:val="Titre1"/>
    <w:uiPriority w:val="9"/>
    <w:rsid w:val="008B4A7E"/>
    <w:rPr>
      <w:rFonts w:ascii="Arial" w:eastAsia="Times New Roman" w:hAnsi="Arial" w:cs="Arial"/>
      <w:color w:val="FFFFFF" w:themeColor="background1"/>
      <w:sz w:val="36"/>
      <w:szCs w:val="36"/>
      <w:shd w:val="clear" w:color="auto" w:fill="535ECB"/>
      <w:lang w:eastAsia="fr-FR"/>
    </w:rPr>
  </w:style>
  <w:style w:type="character" w:customStyle="1" w:styleId="NormalWebCar">
    <w:name w:val="Normal (Web) Car"/>
    <w:basedOn w:val="Policepardfaut"/>
    <w:link w:val="NormalWeb"/>
    <w:uiPriority w:val="99"/>
    <w:rsid w:val="002252D1"/>
    <w:rPr>
      <w:rFonts w:ascii="Times New Roman" w:eastAsia="Times New Roman" w:hAnsi="Times New Roman" w:cs="Times New Roman"/>
      <w:sz w:val="24"/>
      <w:szCs w:val="24"/>
      <w:lang w:eastAsia="fr-FR"/>
    </w:rPr>
  </w:style>
  <w:style w:type="character" w:customStyle="1" w:styleId="EncartCar">
    <w:name w:val="Encart Car"/>
    <w:basedOn w:val="NormalWebCar"/>
    <w:link w:val="Encart"/>
    <w:rsid w:val="00154A01"/>
    <w:rPr>
      <w:rFonts w:ascii="Arial" w:eastAsia="Times New Roman" w:hAnsi="Arial" w:cs="Arial"/>
      <w:sz w:val="24"/>
      <w:szCs w:val="24"/>
      <w:shd w:val="clear" w:color="auto" w:fill="D9D9D9"/>
      <w:lang w:eastAsia="fr-FR"/>
    </w:rPr>
  </w:style>
  <w:style w:type="character" w:customStyle="1" w:styleId="Titre2Car">
    <w:name w:val="Titre 2 Car"/>
    <w:basedOn w:val="Policepardfaut"/>
    <w:link w:val="Titre2"/>
    <w:uiPriority w:val="9"/>
    <w:rsid w:val="008B4A7E"/>
    <w:rPr>
      <w:rFonts w:ascii="Arial" w:eastAsia="Times New Roman" w:hAnsi="Arial" w:cs="Arial"/>
      <w:color w:val="535ECB"/>
      <w:sz w:val="30"/>
      <w:szCs w:val="30"/>
      <w:lang w:eastAsia="fr-FR"/>
    </w:rPr>
  </w:style>
  <w:style w:type="character" w:styleId="Lienhypertexte">
    <w:name w:val="Hyperlink"/>
    <w:basedOn w:val="Policepardfaut"/>
    <w:uiPriority w:val="99"/>
    <w:unhideWhenUsed/>
    <w:rsid w:val="00154A01"/>
    <w:rPr>
      <w:color w:val="0563C1" w:themeColor="hyperlink"/>
      <w:u w:val="single"/>
    </w:rPr>
  </w:style>
  <w:style w:type="character" w:styleId="Mentionnonrsolue">
    <w:name w:val="Unresolved Mention"/>
    <w:basedOn w:val="Policepardfaut"/>
    <w:uiPriority w:val="99"/>
    <w:semiHidden/>
    <w:unhideWhenUsed/>
    <w:rsid w:val="00154A01"/>
    <w:rPr>
      <w:color w:val="605E5C"/>
      <w:shd w:val="clear" w:color="auto" w:fill="E1DFDD"/>
    </w:rPr>
  </w:style>
  <w:style w:type="paragraph" w:styleId="Paragraphedeliste">
    <w:name w:val="List Paragraph"/>
    <w:basedOn w:val="Normal"/>
    <w:uiPriority w:val="1"/>
    <w:qFormat/>
    <w:rsid w:val="00154A01"/>
    <w:pPr>
      <w:ind w:left="720"/>
      <w:contextualSpacing/>
    </w:pPr>
  </w:style>
  <w:style w:type="paragraph" w:styleId="En-tte">
    <w:name w:val="header"/>
    <w:basedOn w:val="Normal"/>
    <w:link w:val="En-tteCar"/>
    <w:uiPriority w:val="99"/>
    <w:unhideWhenUsed/>
    <w:rsid w:val="00813831"/>
    <w:pPr>
      <w:tabs>
        <w:tab w:val="center" w:pos="4536"/>
        <w:tab w:val="right" w:pos="9072"/>
      </w:tabs>
      <w:spacing w:after="0"/>
    </w:pPr>
  </w:style>
  <w:style w:type="character" w:customStyle="1" w:styleId="En-tteCar">
    <w:name w:val="En-tête Car"/>
    <w:basedOn w:val="Policepardfaut"/>
    <w:link w:val="En-tte"/>
    <w:uiPriority w:val="99"/>
    <w:rsid w:val="00813831"/>
    <w:rPr>
      <w:rFonts w:ascii="Arial" w:eastAsia="Times New Roman" w:hAnsi="Arial" w:cs="Arial"/>
      <w:sz w:val="24"/>
      <w:szCs w:val="24"/>
      <w:lang w:eastAsia="fr-FR"/>
    </w:rPr>
  </w:style>
  <w:style w:type="paragraph" w:styleId="Pieddepage">
    <w:name w:val="footer"/>
    <w:basedOn w:val="Normal"/>
    <w:link w:val="PieddepageCar"/>
    <w:uiPriority w:val="99"/>
    <w:unhideWhenUsed/>
    <w:rsid w:val="00813831"/>
    <w:pPr>
      <w:tabs>
        <w:tab w:val="center" w:pos="4536"/>
        <w:tab w:val="right" w:pos="9072"/>
      </w:tabs>
      <w:spacing w:after="0"/>
    </w:pPr>
  </w:style>
  <w:style w:type="character" w:customStyle="1" w:styleId="PieddepageCar">
    <w:name w:val="Pied de page Car"/>
    <w:basedOn w:val="Policepardfaut"/>
    <w:link w:val="Pieddepage"/>
    <w:uiPriority w:val="99"/>
    <w:rsid w:val="00813831"/>
    <w:rPr>
      <w:rFonts w:ascii="Arial" w:eastAsia="Times New Roman" w:hAnsi="Arial" w:cs="Arial"/>
      <w:sz w:val="24"/>
      <w:szCs w:val="24"/>
      <w:lang w:eastAsia="fr-FR"/>
    </w:rPr>
  </w:style>
  <w:style w:type="paragraph" w:styleId="En-ttedetabledesmatires">
    <w:name w:val="TOC Heading"/>
    <w:basedOn w:val="Titre1"/>
    <w:next w:val="Normal"/>
    <w:uiPriority w:val="39"/>
    <w:unhideWhenUsed/>
    <w:qFormat/>
    <w:rsid w:val="00160EC5"/>
    <w:pPr>
      <w:keepNext/>
      <w:keepLines/>
      <w:shd w:val="clear" w:color="auto" w:fill="auto"/>
      <w:spacing w:before="240" w:after="0" w:afterAutospacing="0" w:line="259" w:lineRule="auto"/>
      <w:outlineLvl w:val="9"/>
    </w:pPr>
    <w:rPr>
      <w:rFonts w:asciiTheme="majorHAnsi" w:eastAsiaTheme="majorEastAsia" w:hAnsiTheme="majorHAnsi" w:cstheme="majorBidi"/>
      <w:color w:val="2F5496" w:themeColor="accent1" w:themeShade="BF"/>
      <w:sz w:val="32"/>
      <w:szCs w:val="32"/>
    </w:rPr>
  </w:style>
  <w:style w:type="paragraph" w:styleId="TM1">
    <w:name w:val="toc 1"/>
    <w:basedOn w:val="Normal"/>
    <w:next w:val="Normal"/>
    <w:autoRedefine/>
    <w:uiPriority w:val="39"/>
    <w:unhideWhenUsed/>
    <w:rsid w:val="00160EC5"/>
  </w:style>
  <w:style w:type="paragraph" w:styleId="TM2">
    <w:name w:val="toc 2"/>
    <w:basedOn w:val="Normal"/>
    <w:next w:val="Normal"/>
    <w:autoRedefine/>
    <w:uiPriority w:val="39"/>
    <w:unhideWhenUsed/>
    <w:rsid w:val="00160EC5"/>
    <w:pPr>
      <w:ind w:left="240"/>
    </w:pPr>
  </w:style>
  <w:style w:type="character" w:styleId="Lienhypertextesuivivisit">
    <w:name w:val="FollowedHyperlink"/>
    <w:basedOn w:val="Policepardfaut"/>
    <w:uiPriority w:val="99"/>
    <w:semiHidden/>
    <w:unhideWhenUsed/>
    <w:rsid w:val="00160EC5"/>
    <w:rPr>
      <w:color w:val="954F72" w:themeColor="followedHyperlink"/>
      <w:u w:val="single"/>
    </w:rPr>
  </w:style>
  <w:style w:type="paragraph" w:styleId="Notedebasdepage">
    <w:name w:val="footnote text"/>
    <w:basedOn w:val="Normal"/>
    <w:link w:val="NotedebasdepageCar"/>
    <w:uiPriority w:val="99"/>
    <w:semiHidden/>
    <w:unhideWhenUsed/>
    <w:rsid w:val="00A10013"/>
    <w:pPr>
      <w:spacing w:after="0"/>
    </w:pPr>
    <w:rPr>
      <w:sz w:val="20"/>
      <w:szCs w:val="20"/>
    </w:rPr>
  </w:style>
  <w:style w:type="character" w:customStyle="1" w:styleId="NotedebasdepageCar">
    <w:name w:val="Note de bas de page Car"/>
    <w:basedOn w:val="Policepardfaut"/>
    <w:link w:val="Notedebasdepage"/>
    <w:uiPriority w:val="99"/>
    <w:semiHidden/>
    <w:rsid w:val="00A10013"/>
    <w:rPr>
      <w:rFonts w:ascii="Arial" w:eastAsia="Times New Roman" w:hAnsi="Arial" w:cs="Arial"/>
      <w:sz w:val="20"/>
      <w:szCs w:val="20"/>
      <w:lang w:eastAsia="fr-FR"/>
    </w:rPr>
  </w:style>
  <w:style w:type="character" w:styleId="Appelnotedebasdep">
    <w:name w:val="footnote reference"/>
    <w:basedOn w:val="Policepardfaut"/>
    <w:uiPriority w:val="99"/>
    <w:semiHidden/>
    <w:unhideWhenUsed/>
    <w:rsid w:val="00A10013"/>
    <w:rPr>
      <w:vertAlign w:val="superscript"/>
    </w:rPr>
  </w:style>
  <w:style w:type="character" w:customStyle="1" w:styleId="oypena">
    <w:name w:val="oypena"/>
    <w:basedOn w:val="Policepardfaut"/>
    <w:rsid w:val="00564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941">
      <w:bodyDiv w:val="1"/>
      <w:marLeft w:val="0"/>
      <w:marRight w:val="0"/>
      <w:marTop w:val="0"/>
      <w:marBottom w:val="0"/>
      <w:divBdr>
        <w:top w:val="none" w:sz="0" w:space="0" w:color="auto"/>
        <w:left w:val="none" w:sz="0" w:space="0" w:color="auto"/>
        <w:bottom w:val="none" w:sz="0" w:space="0" w:color="auto"/>
        <w:right w:val="none" w:sz="0" w:space="0" w:color="auto"/>
      </w:divBdr>
    </w:div>
    <w:div w:id="635531298">
      <w:bodyDiv w:val="1"/>
      <w:marLeft w:val="0"/>
      <w:marRight w:val="0"/>
      <w:marTop w:val="0"/>
      <w:marBottom w:val="0"/>
      <w:divBdr>
        <w:top w:val="none" w:sz="0" w:space="0" w:color="auto"/>
        <w:left w:val="none" w:sz="0" w:space="0" w:color="auto"/>
        <w:bottom w:val="none" w:sz="0" w:space="0" w:color="auto"/>
        <w:right w:val="none" w:sz="0" w:space="0" w:color="auto"/>
      </w:divBdr>
    </w:div>
    <w:div w:id="668800208">
      <w:bodyDiv w:val="1"/>
      <w:marLeft w:val="0"/>
      <w:marRight w:val="0"/>
      <w:marTop w:val="0"/>
      <w:marBottom w:val="0"/>
      <w:divBdr>
        <w:top w:val="none" w:sz="0" w:space="0" w:color="auto"/>
        <w:left w:val="none" w:sz="0" w:space="0" w:color="auto"/>
        <w:bottom w:val="none" w:sz="0" w:space="0" w:color="auto"/>
        <w:right w:val="none" w:sz="0" w:space="0" w:color="auto"/>
      </w:divBdr>
    </w:div>
    <w:div w:id="749546747">
      <w:bodyDiv w:val="1"/>
      <w:marLeft w:val="0"/>
      <w:marRight w:val="0"/>
      <w:marTop w:val="0"/>
      <w:marBottom w:val="0"/>
      <w:divBdr>
        <w:top w:val="none" w:sz="0" w:space="0" w:color="auto"/>
        <w:left w:val="none" w:sz="0" w:space="0" w:color="auto"/>
        <w:bottom w:val="none" w:sz="0" w:space="0" w:color="auto"/>
        <w:right w:val="none" w:sz="0" w:space="0" w:color="auto"/>
      </w:divBdr>
    </w:div>
    <w:div w:id="812867845">
      <w:bodyDiv w:val="1"/>
      <w:marLeft w:val="0"/>
      <w:marRight w:val="0"/>
      <w:marTop w:val="0"/>
      <w:marBottom w:val="0"/>
      <w:divBdr>
        <w:top w:val="none" w:sz="0" w:space="0" w:color="auto"/>
        <w:left w:val="none" w:sz="0" w:space="0" w:color="auto"/>
        <w:bottom w:val="none" w:sz="0" w:space="0" w:color="auto"/>
        <w:right w:val="none" w:sz="0" w:space="0" w:color="auto"/>
      </w:divBdr>
    </w:div>
    <w:div w:id="1382094884">
      <w:bodyDiv w:val="1"/>
      <w:marLeft w:val="0"/>
      <w:marRight w:val="0"/>
      <w:marTop w:val="0"/>
      <w:marBottom w:val="0"/>
      <w:divBdr>
        <w:top w:val="none" w:sz="0" w:space="0" w:color="auto"/>
        <w:left w:val="none" w:sz="0" w:space="0" w:color="auto"/>
        <w:bottom w:val="none" w:sz="0" w:space="0" w:color="auto"/>
        <w:right w:val="none" w:sz="0" w:space="0" w:color="auto"/>
      </w:divBdr>
      <w:divsChild>
        <w:div w:id="193812842">
          <w:marLeft w:val="0"/>
          <w:marRight w:val="0"/>
          <w:marTop w:val="0"/>
          <w:marBottom w:val="0"/>
          <w:divBdr>
            <w:top w:val="none" w:sz="0" w:space="0" w:color="auto"/>
            <w:left w:val="none" w:sz="0" w:space="0" w:color="auto"/>
            <w:bottom w:val="none" w:sz="0" w:space="0" w:color="auto"/>
            <w:right w:val="none" w:sz="0" w:space="0" w:color="auto"/>
          </w:divBdr>
        </w:div>
      </w:divsChild>
    </w:div>
    <w:div w:id="1487167820">
      <w:bodyDiv w:val="1"/>
      <w:marLeft w:val="0"/>
      <w:marRight w:val="0"/>
      <w:marTop w:val="0"/>
      <w:marBottom w:val="0"/>
      <w:divBdr>
        <w:top w:val="none" w:sz="0" w:space="0" w:color="auto"/>
        <w:left w:val="none" w:sz="0" w:space="0" w:color="auto"/>
        <w:bottom w:val="none" w:sz="0" w:space="0" w:color="auto"/>
        <w:right w:val="none" w:sz="0" w:space="0" w:color="auto"/>
      </w:divBdr>
    </w:div>
    <w:div w:id="1520385501">
      <w:bodyDiv w:val="1"/>
      <w:marLeft w:val="0"/>
      <w:marRight w:val="0"/>
      <w:marTop w:val="0"/>
      <w:marBottom w:val="0"/>
      <w:divBdr>
        <w:top w:val="none" w:sz="0" w:space="0" w:color="auto"/>
        <w:left w:val="none" w:sz="0" w:space="0" w:color="auto"/>
        <w:bottom w:val="none" w:sz="0" w:space="0" w:color="auto"/>
        <w:right w:val="none" w:sz="0" w:space="0" w:color="auto"/>
      </w:divBdr>
      <w:divsChild>
        <w:div w:id="1842621135">
          <w:marLeft w:val="0"/>
          <w:marRight w:val="0"/>
          <w:marTop w:val="0"/>
          <w:marBottom w:val="0"/>
          <w:divBdr>
            <w:top w:val="none" w:sz="0" w:space="0" w:color="auto"/>
            <w:left w:val="none" w:sz="0" w:space="0" w:color="auto"/>
            <w:bottom w:val="none" w:sz="0" w:space="0" w:color="auto"/>
            <w:right w:val="none" w:sz="0" w:space="0" w:color="auto"/>
          </w:divBdr>
        </w:div>
      </w:divsChild>
    </w:div>
    <w:div w:id="1563980827">
      <w:bodyDiv w:val="1"/>
      <w:marLeft w:val="0"/>
      <w:marRight w:val="0"/>
      <w:marTop w:val="0"/>
      <w:marBottom w:val="0"/>
      <w:divBdr>
        <w:top w:val="none" w:sz="0" w:space="0" w:color="auto"/>
        <w:left w:val="none" w:sz="0" w:space="0" w:color="auto"/>
        <w:bottom w:val="none" w:sz="0" w:space="0" w:color="auto"/>
        <w:right w:val="none" w:sz="0" w:space="0" w:color="auto"/>
      </w:divBdr>
    </w:div>
    <w:div w:id="1889754750">
      <w:bodyDiv w:val="1"/>
      <w:marLeft w:val="0"/>
      <w:marRight w:val="0"/>
      <w:marTop w:val="0"/>
      <w:marBottom w:val="0"/>
      <w:divBdr>
        <w:top w:val="none" w:sz="0" w:space="0" w:color="auto"/>
        <w:left w:val="none" w:sz="0" w:space="0" w:color="auto"/>
        <w:bottom w:val="none" w:sz="0" w:space="0" w:color="auto"/>
        <w:right w:val="none" w:sz="0" w:space="0" w:color="auto"/>
      </w:divBdr>
    </w:div>
    <w:div w:id="1954314479">
      <w:bodyDiv w:val="1"/>
      <w:marLeft w:val="0"/>
      <w:marRight w:val="0"/>
      <w:marTop w:val="0"/>
      <w:marBottom w:val="0"/>
      <w:divBdr>
        <w:top w:val="none" w:sz="0" w:space="0" w:color="auto"/>
        <w:left w:val="none" w:sz="0" w:space="0" w:color="auto"/>
        <w:bottom w:val="none" w:sz="0" w:space="0" w:color="auto"/>
        <w:right w:val="none" w:sz="0" w:space="0" w:color="auto"/>
      </w:divBdr>
      <w:divsChild>
        <w:div w:id="125584498">
          <w:marLeft w:val="0"/>
          <w:marRight w:val="0"/>
          <w:marTop w:val="0"/>
          <w:marBottom w:val="0"/>
          <w:divBdr>
            <w:top w:val="none" w:sz="0" w:space="0" w:color="auto"/>
            <w:left w:val="none" w:sz="0" w:space="0" w:color="auto"/>
            <w:bottom w:val="none" w:sz="0" w:space="0" w:color="auto"/>
            <w:right w:val="none" w:sz="0" w:space="0" w:color="auto"/>
          </w:divBdr>
        </w:div>
      </w:divsChild>
    </w:div>
    <w:div w:id="2004509740">
      <w:bodyDiv w:val="1"/>
      <w:marLeft w:val="0"/>
      <w:marRight w:val="0"/>
      <w:marTop w:val="0"/>
      <w:marBottom w:val="0"/>
      <w:divBdr>
        <w:top w:val="none" w:sz="0" w:space="0" w:color="auto"/>
        <w:left w:val="none" w:sz="0" w:space="0" w:color="auto"/>
        <w:bottom w:val="none" w:sz="0" w:space="0" w:color="auto"/>
        <w:right w:val="none" w:sz="0" w:space="0" w:color="auto"/>
      </w:divBdr>
    </w:div>
    <w:div w:id="2033609731">
      <w:bodyDiv w:val="1"/>
      <w:marLeft w:val="0"/>
      <w:marRight w:val="0"/>
      <w:marTop w:val="0"/>
      <w:marBottom w:val="0"/>
      <w:divBdr>
        <w:top w:val="none" w:sz="0" w:space="0" w:color="auto"/>
        <w:left w:val="none" w:sz="0" w:space="0" w:color="auto"/>
        <w:bottom w:val="none" w:sz="0" w:space="0" w:color="auto"/>
        <w:right w:val="none" w:sz="0" w:space="0" w:color="auto"/>
      </w:divBdr>
    </w:div>
    <w:div w:id="20668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ah.org/fr/notice/154/handicap-pratiques-culturelles-et-participation-sociale.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souffleursdesen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ffleursdesens.org/formation-sensibilis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nterstices-auvergnerhonealpes.fr/images/mmoire%20finalis.pdf" TargetMode="External"/><Relationship Id="rId4" Type="http://schemas.openxmlformats.org/officeDocument/2006/relationships/settings" Target="settings.xml"/><Relationship Id="rId9" Type="http://schemas.openxmlformats.org/officeDocument/2006/relationships/hyperlink" Target="https://saez.swisshealthweb.ch/fileadmin/assets/SAEZ/2016/saez.2016.04855/saez-2016-04855.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66946-24DC-48DB-AEF1-848D5D821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736</Words>
  <Characters>4051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LIVOLSI</dc:creator>
  <cp:keywords/>
  <dc:description/>
  <cp:lastModifiedBy>Ambrine DRICI-TANI</cp:lastModifiedBy>
  <cp:revision>15</cp:revision>
  <dcterms:created xsi:type="dcterms:W3CDTF">2024-02-20T11:24:00Z</dcterms:created>
  <dcterms:modified xsi:type="dcterms:W3CDTF">2024-06-10T10:04:00Z</dcterms:modified>
</cp:coreProperties>
</file>