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EC5" w:rsidRPr="00EB388A" w:rsidRDefault="008376AE" w:rsidP="00160EC5">
      <w:pPr>
        <w:pStyle w:val="Titre"/>
        <w:spacing w:line="360" w:lineRule="auto"/>
        <w:rPr>
          <w:rFonts w:ascii="Poppins" w:hAnsi="Poppins" w:cs="Poppins"/>
          <w:sz w:val="32"/>
        </w:rPr>
      </w:pPr>
      <w:r w:rsidRPr="00160EC5">
        <w:rPr>
          <w:rFonts w:ascii="Poppins" w:hAnsi="Poppins" w:cs="Poppins"/>
          <w:b/>
          <w:sz w:val="36"/>
        </w:rPr>
        <w:t>Fiche pratique :</w:t>
      </w:r>
      <w:r w:rsidRPr="00160EC5">
        <w:rPr>
          <w:rFonts w:ascii="Poppins" w:hAnsi="Poppins" w:cs="Poppins"/>
          <w:b/>
          <w:sz w:val="36"/>
        </w:rPr>
        <w:br/>
      </w:r>
      <w:r w:rsidR="0056499F">
        <w:rPr>
          <w:rFonts w:ascii="Poppins" w:hAnsi="Poppins" w:cs="Poppins"/>
          <w:sz w:val="32"/>
        </w:rPr>
        <w:t xml:space="preserve">Pourquoi un référent </w:t>
      </w:r>
      <w:r w:rsidR="008815AE">
        <w:rPr>
          <w:rFonts w:ascii="Poppins" w:hAnsi="Poppins" w:cs="Poppins"/>
          <w:sz w:val="32"/>
        </w:rPr>
        <w:t xml:space="preserve">handicap </w:t>
      </w:r>
      <w:r w:rsidR="0056499F">
        <w:rPr>
          <w:rFonts w:ascii="Poppins" w:hAnsi="Poppins" w:cs="Poppins"/>
          <w:sz w:val="32"/>
        </w:rPr>
        <w:t xml:space="preserve">en structure ? </w:t>
      </w:r>
    </w:p>
    <w:sdt>
      <w:sdtPr>
        <w:rPr>
          <w:rFonts w:ascii="Arial" w:eastAsia="Times New Roman" w:hAnsi="Arial" w:cs="Arial"/>
          <w:color w:val="auto"/>
          <w:sz w:val="24"/>
          <w:szCs w:val="24"/>
        </w:rPr>
        <w:id w:val="60230614"/>
        <w:docPartObj>
          <w:docPartGallery w:val="Table of Contents"/>
          <w:docPartUnique/>
        </w:docPartObj>
      </w:sdtPr>
      <w:sdtEndPr>
        <w:rPr>
          <w:b/>
          <w:bCs/>
          <w:sz w:val="28"/>
          <w:szCs w:val="28"/>
        </w:rPr>
      </w:sdtEndPr>
      <w:sdtContent>
        <w:p w:rsidR="00160EC5" w:rsidRPr="005A1A9A" w:rsidRDefault="00160EC5" w:rsidP="00160EC5">
          <w:pPr>
            <w:pStyle w:val="En-ttedetabledesmatires"/>
            <w:spacing w:after="240"/>
            <w:rPr>
              <w:rFonts w:ascii="Arial" w:hAnsi="Arial" w:cs="Arial"/>
              <w:b/>
              <w:color w:val="000000" w:themeColor="text1"/>
              <w:sz w:val="28"/>
              <w:szCs w:val="28"/>
            </w:rPr>
          </w:pPr>
          <w:r w:rsidRPr="001E5A13">
            <w:rPr>
              <w:rFonts w:ascii="Arial" w:hAnsi="Arial" w:cs="Arial"/>
              <w:b/>
              <w:color w:val="000000" w:themeColor="text1"/>
            </w:rPr>
            <w:t>S</w:t>
          </w:r>
          <w:r w:rsidRPr="005A1A9A">
            <w:rPr>
              <w:rFonts w:ascii="Arial" w:hAnsi="Arial" w:cs="Arial"/>
              <w:b/>
              <w:color w:val="000000" w:themeColor="text1"/>
              <w:sz w:val="28"/>
              <w:szCs w:val="28"/>
            </w:rPr>
            <w:t>ommaire</w:t>
          </w:r>
        </w:p>
        <w:bookmarkStart w:id="0" w:name="_GoBack"/>
        <w:p w:rsidR="007335DA" w:rsidRPr="007335DA" w:rsidRDefault="00160EC5">
          <w:pPr>
            <w:pStyle w:val="TM1"/>
            <w:tabs>
              <w:tab w:val="left" w:pos="440"/>
              <w:tab w:val="right" w:leader="dot" w:pos="9062"/>
            </w:tabs>
            <w:rPr>
              <w:rFonts w:asciiTheme="minorHAnsi" w:eastAsiaTheme="minorEastAsia" w:hAnsiTheme="minorHAnsi" w:cstheme="minorBidi"/>
              <w:noProof/>
              <w:sz w:val="28"/>
              <w:szCs w:val="28"/>
            </w:rPr>
          </w:pPr>
          <w:r w:rsidRPr="007335DA">
            <w:rPr>
              <w:sz w:val="28"/>
              <w:szCs w:val="28"/>
            </w:rPr>
            <w:fldChar w:fldCharType="begin"/>
          </w:r>
          <w:r w:rsidRPr="007335DA">
            <w:rPr>
              <w:sz w:val="28"/>
              <w:szCs w:val="28"/>
            </w:rPr>
            <w:instrText xml:space="preserve"> TOC \o "1-3" \h \z \u </w:instrText>
          </w:r>
          <w:r w:rsidRPr="007335DA">
            <w:rPr>
              <w:sz w:val="28"/>
              <w:szCs w:val="28"/>
            </w:rPr>
            <w:fldChar w:fldCharType="separate"/>
          </w:r>
          <w:hyperlink w:anchor="_Toc168913612" w:history="1">
            <w:r w:rsidR="007335DA" w:rsidRPr="007335DA">
              <w:rPr>
                <w:rStyle w:val="Lienhypertexte"/>
                <w:noProof/>
                <w:sz w:val="28"/>
                <w:szCs w:val="28"/>
              </w:rPr>
              <w:t>1.</w:t>
            </w:r>
            <w:r w:rsidR="007335DA" w:rsidRPr="007335DA">
              <w:rPr>
                <w:rFonts w:asciiTheme="minorHAnsi" w:eastAsiaTheme="minorEastAsia" w:hAnsiTheme="minorHAnsi" w:cstheme="minorBidi"/>
                <w:noProof/>
                <w:sz w:val="28"/>
                <w:szCs w:val="28"/>
              </w:rPr>
              <w:tab/>
            </w:r>
            <w:r w:rsidR="007335DA" w:rsidRPr="007335DA">
              <w:rPr>
                <w:rStyle w:val="Lienhypertexte"/>
                <w:noProof/>
                <w:sz w:val="28"/>
                <w:szCs w:val="28"/>
              </w:rPr>
              <w:t>Quelle est l’utilité de nommer un référent handicap?</w:t>
            </w:r>
            <w:r w:rsidR="007335DA" w:rsidRPr="007335DA">
              <w:rPr>
                <w:noProof/>
                <w:webHidden/>
                <w:sz w:val="28"/>
                <w:szCs w:val="28"/>
              </w:rPr>
              <w:tab/>
            </w:r>
            <w:r w:rsidR="007335DA" w:rsidRPr="007335DA">
              <w:rPr>
                <w:noProof/>
                <w:webHidden/>
                <w:sz w:val="28"/>
                <w:szCs w:val="28"/>
              </w:rPr>
              <w:fldChar w:fldCharType="begin"/>
            </w:r>
            <w:r w:rsidR="007335DA" w:rsidRPr="007335DA">
              <w:rPr>
                <w:noProof/>
                <w:webHidden/>
                <w:sz w:val="28"/>
                <w:szCs w:val="28"/>
              </w:rPr>
              <w:instrText xml:space="preserve"> PAGEREF _Toc168913612 \h </w:instrText>
            </w:r>
            <w:r w:rsidR="007335DA" w:rsidRPr="007335DA">
              <w:rPr>
                <w:noProof/>
                <w:webHidden/>
                <w:sz w:val="28"/>
                <w:szCs w:val="28"/>
              </w:rPr>
            </w:r>
            <w:r w:rsidR="007335DA" w:rsidRPr="007335DA">
              <w:rPr>
                <w:noProof/>
                <w:webHidden/>
                <w:sz w:val="28"/>
                <w:szCs w:val="28"/>
              </w:rPr>
              <w:fldChar w:fldCharType="separate"/>
            </w:r>
            <w:r w:rsidR="007335DA" w:rsidRPr="007335DA">
              <w:rPr>
                <w:noProof/>
                <w:webHidden/>
                <w:sz w:val="28"/>
                <w:szCs w:val="28"/>
              </w:rPr>
              <w:t>2</w:t>
            </w:r>
            <w:r w:rsidR="007335DA" w:rsidRPr="007335DA">
              <w:rPr>
                <w:noProof/>
                <w:webHidden/>
                <w:sz w:val="28"/>
                <w:szCs w:val="28"/>
              </w:rPr>
              <w:fldChar w:fldCharType="end"/>
            </w:r>
          </w:hyperlink>
        </w:p>
        <w:p w:rsidR="007335DA" w:rsidRPr="007335DA" w:rsidRDefault="007335DA">
          <w:pPr>
            <w:pStyle w:val="TM1"/>
            <w:tabs>
              <w:tab w:val="left" w:pos="440"/>
              <w:tab w:val="right" w:leader="dot" w:pos="9062"/>
            </w:tabs>
            <w:rPr>
              <w:rFonts w:asciiTheme="minorHAnsi" w:eastAsiaTheme="minorEastAsia" w:hAnsiTheme="minorHAnsi" w:cstheme="minorBidi"/>
              <w:noProof/>
              <w:sz w:val="28"/>
              <w:szCs w:val="28"/>
            </w:rPr>
          </w:pPr>
          <w:hyperlink w:anchor="_Toc168913613" w:history="1">
            <w:r w:rsidRPr="007335DA">
              <w:rPr>
                <w:rStyle w:val="Lienhypertexte"/>
                <w:noProof/>
                <w:sz w:val="28"/>
                <w:szCs w:val="28"/>
              </w:rPr>
              <w:t>2.</w:t>
            </w:r>
            <w:r w:rsidRPr="007335DA">
              <w:rPr>
                <w:rFonts w:asciiTheme="minorHAnsi" w:eastAsiaTheme="minorEastAsia" w:hAnsiTheme="minorHAnsi" w:cstheme="minorBidi"/>
                <w:noProof/>
                <w:sz w:val="28"/>
                <w:szCs w:val="28"/>
              </w:rPr>
              <w:tab/>
            </w:r>
            <w:r w:rsidRPr="007335DA">
              <w:rPr>
                <w:rStyle w:val="Lienhypertexte"/>
                <w:noProof/>
                <w:sz w:val="28"/>
                <w:szCs w:val="28"/>
              </w:rPr>
              <w:t>Quelles missions ?</w:t>
            </w:r>
            <w:r w:rsidRPr="007335DA">
              <w:rPr>
                <w:noProof/>
                <w:webHidden/>
                <w:sz w:val="28"/>
                <w:szCs w:val="28"/>
              </w:rPr>
              <w:tab/>
            </w:r>
            <w:r w:rsidRPr="007335DA">
              <w:rPr>
                <w:noProof/>
                <w:webHidden/>
                <w:sz w:val="28"/>
                <w:szCs w:val="28"/>
              </w:rPr>
              <w:fldChar w:fldCharType="begin"/>
            </w:r>
            <w:r w:rsidRPr="007335DA">
              <w:rPr>
                <w:noProof/>
                <w:webHidden/>
                <w:sz w:val="28"/>
                <w:szCs w:val="28"/>
              </w:rPr>
              <w:instrText xml:space="preserve"> PAGEREF _Toc168913613 \h </w:instrText>
            </w:r>
            <w:r w:rsidRPr="007335DA">
              <w:rPr>
                <w:noProof/>
                <w:webHidden/>
                <w:sz w:val="28"/>
                <w:szCs w:val="28"/>
              </w:rPr>
            </w:r>
            <w:r w:rsidRPr="007335DA">
              <w:rPr>
                <w:noProof/>
                <w:webHidden/>
                <w:sz w:val="28"/>
                <w:szCs w:val="28"/>
              </w:rPr>
              <w:fldChar w:fldCharType="separate"/>
            </w:r>
            <w:r w:rsidRPr="007335DA">
              <w:rPr>
                <w:noProof/>
                <w:webHidden/>
                <w:sz w:val="28"/>
                <w:szCs w:val="28"/>
              </w:rPr>
              <w:t>2</w:t>
            </w:r>
            <w:r w:rsidRPr="007335DA">
              <w:rPr>
                <w:noProof/>
                <w:webHidden/>
                <w:sz w:val="28"/>
                <w:szCs w:val="28"/>
              </w:rPr>
              <w:fldChar w:fldCharType="end"/>
            </w:r>
          </w:hyperlink>
        </w:p>
        <w:p w:rsidR="007335DA" w:rsidRPr="007335DA" w:rsidRDefault="007335DA">
          <w:pPr>
            <w:pStyle w:val="TM1"/>
            <w:tabs>
              <w:tab w:val="left" w:pos="440"/>
              <w:tab w:val="right" w:leader="dot" w:pos="9062"/>
            </w:tabs>
            <w:rPr>
              <w:rFonts w:asciiTheme="minorHAnsi" w:eastAsiaTheme="minorEastAsia" w:hAnsiTheme="minorHAnsi" w:cstheme="minorBidi"/>
              <w:noProof/>
              <w:sz w:val="28"/>
              <w:szCs w:val="28"/>
            </w:rPr>
          </w:pPr>
          <w:hyperlink w:anchor="_Toc168913614" w:history="1">
            <w:r w:rsidRPr="007335DA">
              <w:rPr>
                <w:rStyle w:val="Lienhypertexte"/>
                <w:noProof/>
                <w:sz w:val="28"/>
                <w:szCs w:val="28"/>
              </w:rPr>
              <w:t>3.</w:t>
            </w:r>
            <w:r w:rsidRPr="007335DA">
              <w:rPr>
                <w:rFonts w:asciiTheme="minorHAnsi" w:eastAsiaTheme="minorEastAsia" w:hAnsiTheme="minorHAnsi" w:cstheme="minorBidi"/>
                <w:noProof/>
                <w:sz w:val="28"/>
                <w:szCs w:val="28"/>
              </w:rPr>
              <w:tab/>
            </w:r>
            <w:r w:rsidRPr="007335DA">
              <w:rPr>
                <w:rStyle w:val="Lienhypertexte"/>
                <w:noProof/>
                <w:sz w:val="28"/>
                <w:szCs w:val="28"/>
              </w:rPr>
              <w:t>Accessibilité, conception universelle et démocratie culturelle</w:t>
            </w:r>
            <w:r w:rsidRPr="007335DA">
              <w:rPr>
                <w:noProof/>
                <w:webHidden/>
                <w:sz w:val="28"/>
                <w:szCs w:val="28"/>
              </w:rPr>
              <w:tab/>
            </w:r>
            <w:r w:rsidRPr="007335DA">
              <w:rPr>
                <w:noProof/>
                <w:webHidden/>
                <w:sz w:val="28"/>
                <w:szCs w:val="28"/>
              </w:rPr>
              <w:fldChar w:fldCharType="begin"/>
            </w:r>
            <w:r w:rsidRPr="007335DA">
              <w:rPr>
                <w:noProof/>
                <w:webHidden/>
                <w:sz w:val="28"/>
                <w:szCs w:val="28"/>
              </w:rPr>
              <w:instrText xml:space="preserve"> PAGEREF _Toc168913614 \h </w:instrText>
            </w:r>
            <w:r w:rsidRPr="007335DA">
              <w:rPr>
                <w:noProof/>
                <w:webHidden/>
                <w:sz w:val="28"/>
                <w:szCs w:val="28"/>
              </w:rPr>
            </w:r>
            <w:r w:rsidRPr="007335DA">
              <w:rPr>
                <w:noProof/>
                <w:webHidden/>
                <w:sz w:val="28"/>
                <w:szCs w:val="28"/>
              </w:rPr>
              <w:fldChar w:fldCharType="separate"/>
            </w:r>
            <w:r w:rsidRPr="007335DA">
              <w:rPr>
                <w:noProof/>
                <w:webHidden/>
                <w:sz w:val="28"/>
                <w:szCs w:val="28"/>
              </w:rPr>
              <w:t>3</w:t>
            </w:r>
            <w:r w:rsidRPr="007335DA">
              <w:rPr>
                <w:noProof/>
                <w:webHidden/>
                <w:sz w:val="28"/>
                <w:szCs w:val="28"/>
              </w:rPr>
              <w:fldChar w:fldCharType="end"/>
            </w:r>
          </w:hyperlink>
        </w:p>
        <w:p w:rsidR="007335DA" w:rsidRPr="007335DA" w:rsidRDefault="007335DA">
          <w:pPr>
            <w:pStyle w:val="TM1"/>
            <w:tabs>
              <w:tab w:val="left" w:pos="440"/>
              <w:tab w:val="right" w:leader="dot" w:pos="9062"/>
            </w:tabs>
            <w:rPr>
              <w:rFonts w:asciiTheme="minorHAnsi" w:eastAsiaTheme="minorEastAsia" w:hAnsiTheme="minorHAnsi" w:cstheme="minorBidi"/>
              <w:noProof/>
              <w:sz w:val="28"/>
              <w:szCs w:val="28"/>
            </w:rPr>
          </w:pPr>
          <w:hyperlink w:anchor="_Toc168913615" w:history="1">
            <w:r w:rsidRPr="007335DA">
              <w:rPr>
                <w:rStyle w:val="Lienhypertexte"/>
                <w:noProof/>
                <w:sz w:val="28"/>
                <w:szCs w:val="28"/>
              </w:rPr>
              <w:t>4.</w:t>
            </w:r>
            <w:r w:rsidRPr="007335DA">
              <w:rPr>
                <w:rFonts w:asciiTheme="minorHAnsi" w:eastAsiaTheme="minorEastAsia" w:hAnsiTheme="minorHAnsi" w:cstheme="minorBidi"/>
                <w:noProof/>
                <w:sz w:val="28"/>
                <w:szCs w:val="28"/>
              </w:rPr>
              <w:tab/>
            </w:r>
            <w:r w:rsidRPr="007335DA">
              <w:rPr>
                <w:rStyle w:val="Lienhypertexte"/>
                <w:noProof/>
                <w:sz w:val="28"/>
                <w:szCs w:val="28"/>
              </w:rPr>
              <w:t>Ressources</w:t>
            </w:r>
            <w:r w:rsidRPr="007335DA">
              <w:rPr>
                <w:noProof/>
                <w:webHidden/>
                <w:sz w:val="28"/>
                <w:szCs w:val="28"/>
              </w:rPr>
              <w:tab/>
            </w:r>
            <w:r w:rsidRPr="007335DA">
              <w:rPr>
                <w:noProof/>
                <w:webHidden/>
                <w:sz w:val="28"/>
                <w:szCs w:val="28"/>
              </w:rPr>
              <w:fldChar w:fldCharType="begin"/>
            </w:r>
            <w:r w:rsidRPr="007335DA">
              <w:rPr>
                <w:noProof/>
                <w:webHidden/>
                <w:sz w:val="28"/>
                <w:szCs w:val="28"/>
              </w:rPr>
              <w:instrText xml:space="preserve"> PAGEREF _Toc168913615 \h </w:instrText>
            </w:r>
            <w:r w:rsidRPr="007335DA">
              <w:rPr>
                <w:noProof/>
                <w:webHidden/>
                <w:sz w:val="28"/>
                <w:szCs w:val="28"/>
              </w:rPr>
            </w:r>
            <w:r w:rsidRPr="007335DA">
              <w:rPr>
                <w:noProof/>
                <w:webHidden/>
                <w:sz w:val="28"/>
                <w:szCs w:val="28"/>
              </w:rPr>
              <w:fldChar w:fldCharType="separate"/>
            </w:r>
            <w:r w:rsidRPr="007335DA">
              <w:rPr>
                <w:noProof/>
                <w:webHidden/>
                <w:sz w:val="28"/>
                <w:szCs w:val="28"/>
              </w:rPr>
              <w:t>4</w:t>
            </w:r>
            <w:r w:rsidRPr="007335DA">
              <w:rPr>
                <w:noProof/>
                <w:webHidden/>
                <w:sz w:val="28"/>
                <w:szCs w:val="28"/>
              </w:rPr>
              <w:fldChar w:fldCharType="end"/>
            </w:r>
          </w:hyperlink>
        </w:p>
        <w:p w:rsidR="00160EC5" w:rsidRPr="001E5A13" w:rsidRDefault="00160EC5">
          <w:pPr>
            <w:rPr>
              <w:sz w:val="28"/>
              <w:szCs w:val="28"/>
            </w:rPr>
          </w:pPr>
          <w:r w:rsidRPr="007335DA">
            <w:rPr>
              <w:b/>
              <w:bCs/>
              <w:sz w:val="28"/>
              <w:szCs w:val="28"/>
            </w:rPr>
            <w:fldChar w:fldCharType="end"/>
          </w:r>
        </w:p>
        <w:bookmarkEnd w:id="0" w:displacedByCustomXml="next"/>
      </w:sdtContent>
    </w:sdt>
    <w:p w:rsidR="00160EC5" w:rsidRDefault="00160EC5">
      <w:pPr>
        <w:spacing w:after="160" w:afterAutospacing="0" w:line="259" w:lineRule="auto"/>
      </w:pPr>
      <w:r>
        <w:br w:type="page"/>
      </w:r>
    </w:p>
    <w:p w:rsidR="008815AE" w:rsidRPr="008815AE" w:rsidRDefault="008815AE" w:rsidP="008815AE">
      <w:pPr>
        <w:pStyle w:val="Encart"/>
        <w:spacing w:line="360" w:lineRule="auto"/>
        <w:rPr>
          <w:sz w:val="28"/>
          <w:szCs w:val="28"/>
        </w:rPr>
      </w:pPr>
      <w:r>
        <w:rPr>
          <w:sz w:val="28"/>
          <w:szCs w:val="28"/>
        </w:rPr>
        <w:lastRenderedPageBreak/>
        <w:t>La l</w:t>
      </w:r>
      <w:r w:rsidRPr="008815AE">
        <w:rPr>
          <w:sz w:val="28"/>
          <w:szCs w:val="28"/>
        </w:rPr>
        <w:t xml:space="preserve">oi du 11 février 2005 pour l’égalité des droits et des chances, la participation et la citoyenneté des personnes handicapées énonce le principe de « </w:t>
      </w:r>
      <w:r w:rsidR="00226319" w:rsidRPr="008815AE">
        <w:rPr>
          <w:sz w:val="28"/>
          <w:szCs w:val="28"/>
        </w:rPr>
        <w:t>non-discrimination</w:t>
      </w:r>
      <w:r w:rsidRPr="008815AE">
        <w:rPr>
          <w:sz w:val="28"/>
          <w:szCs w:val="28"/>
        </w:rPr>
        <w:t xml:space="preserve"> » dans tous les domaines de la vie : emploi, culture, loisirs, transports, logement… </w:t>
      </w:r>
    </w:p>
    <w:p w:rsidR="008815AE" w:rsidRPr="008815AE" w:rsidRDefault="008815AE" w:rsidP="008815AE">
      <w:pPr>
        <w:pStyle w:val="Encart"/>
        <w:spacing w:line="360" w:lineRule="auto"/>
        <w:rPr>
          <w:sz w:val="28"/>
          <w:szCs w:val="28"/>
        </w:rPr>
      </w:pPr>
      <w:r w:rsidRPr="008815AE">
        <w:rPr>
          <w:sz w:val="28"/>
          <w:szCs w:val="28"/>
        </w:rPr>
        <w:t>Les référents et référentes handicap veillent à cette non-discrimination et sont les garants et garantes de l’accessibilité culturelle des personnes en situation de handicap</w:t>
      </w:r>
      <w:r>
        <w:rPr>
          <w:sz w:val="28"/>
          <w:szCs w:val="28"/>
        </w:rPr>
        <w:t>.</w:t>
      </w:r>
    </w:p>
    <w:p w:rsidR="004B73B3" w:rsidRPr="00A7757D" w:rsidRDefault="004B73B3" w:rsidP="00081081">
      <w:pPr>
        <w:spacing w:line="360" w:lineRule="auto"/>
        <w:rPr>
          <w:sz w:val="28"/>
          <w:szCs w:val="28"/>
        </w:rPr>
      </w:pPr>
    </w:p>
    <w:p w:rsidR="008376AE" w:rsidRPr="008B4A7E" w:rsidRDefault="0056499F" w:rsidP="00160EC5">
      <w:pPr>
        <w:pStyle w:val="Titre1"/>
        <w:numPr>
          <w:ilvl w:val="0"/>
          <w:numId w:val="11"/>
        </w:numPr>
        <w:spacing w:line="360" w:lineRule="auto"/>
      </w:pPr>
      <w:bookmarkStart w:id="1" w:name="_Toc168913612"/>
      <w:r>
        <w:t xml:space="preserve">Quelle est l’utilité de nommer un référent </w:t>
      </w:r>
      <w:proofErr w:type="gramStart"/>
      <w:r w:rsidR="008815AE">
        <w:t>handicap</w:t>
      </w:r>
      <w:r>
        <w:t>?</w:t>
      </w:r>
      <w:bookmarkEnd w:id="1"/>
      <w:proofErr w:type="gramEnd"/>
    </w:p>
    <w:p w:rsidR="008815AE" w:rsidRDefault="008815AE" w:rsidP="008815AE">
      <w:pPr>
        <w:spacing w:line="360" w:lineRule="auto"/>
        <w:rPr>
          <w:b/>
          <w:bCs/>
          <w:sz w:val="28"/>
          <w:szCs w:val="28"/>
        </w:rPr>
      </w:pPr>
    </w:p>
    <w:p w:rsidR="008815AE" w:rsidRPr="008815AE" w:rsidRDefault="008815AE" w:rsidP="008815AE">
      <w:pPr>
        <w:spacing w:line="360" w:lineRule="auto"/>
        <w:rPr>
          <w:bCs/>
          <w:sz w:val="28"/>
          <w:szCs w:val="28"/>
        </w:rPr>
      </w:pPr>
      <w:r w:rsidRPr="008815AE">
        <w:rPr>
          <w:bCs/>
          <w:sz w:val="28"/>
          <w:szCs w:val="28"/>
        </w:rPr>
        <w:t xml:space="preserve">La présence d’un référent handicap (ou référent accessibilité) en établissement culturel est aujourd’hui une </w:t>
      </w:r>
      <w:r w:rsidRPr="008815AE">
        <w:rPr>
          <w:b/>
          <w:bCs/>
          <w:sz w:val="28"/>
          <w:szCs w:val="28"/>
        </w:rPr>
        <w:t>nécessité</w:t>
      </w:r>
      <w:r w:rsidRPr="008815AE">
        <w:rPr>
          <w:bCs/>
          <w:sz w:val="28"/>
          <w:szCs w:val="28"/>
        </w:rPr>
        <w:t>. En effet, sa présence s’impose pour s’assurer de l’accessibilité de la structure comme des activités qui y sont proposées.</w:t>
      </w:r>
    </w:p>
    <w:p w:rsidR="008815AE" w:rsidRPr="008815AE" w:rsidRDefault="008815AE" w:rsidP="008815AE">
      <w:pPr>
        <w:spacing w:line="360" w:lineRule="auto"/>
        <w:rPr>
          <w:bCs/>
          <w:sz w:val="28"/>
          <w:szCs w:val="28"/>
        </w:rPr>
      </w:pPr>
      <w:r w:rsidRPr="008815AE">
        <w:rPr>
          <w:bCs/>
          <w:sz w:val="28"/>
          <w:szCs w:val="28"/>
        </w:rPr>
        <w:t>Nommer un référent handicap permet à un établissement culturel d’inclure l’accessibilité dès le processus d’élaboration de</w:t>
      </w:r>
      <w:r w:rsidRPr="008815AE">
        <w:rPr>
          <w:rFonts w:ascii="Tahoma" w:hAnsi="Tahoma" w:cs="Tahoma"/>
          <w:bCs/>
          <w:sz w:val="28"/>
          <w:szCs w:val="28"/>
        </w:rPr>
        <w:t>﻿</w:t>
      </w:r>
      <w:r w:rsidRPr="008815AE">
        <w:rPr>
          <w:bCs/>
          <w:sz w:val="28"/>
          <w:szCs w:val="28"/>
        </w:rPr>
        <w:t xml:space="preserve"> son offre. Cette mission peut être confiée à un professionnel ayant déjà d’autres missions, ou bien faire l’objet d’une création de poste. Le poste peut également être mutualisé sur plusieurs établissements.</w:t>
      </w:r>
    </w:p>
    <w:p w:rsidR="0056499F" w:rsidRPr="0056499F" w:rsidRDefault="0056499F" w:rsidP="0056499F">
      <w:pPr>
        <w:spacing w:line="360" w:lineRule="auto"/>
        <w:rPr>
          <w:sz w:val="28"/>
          <w:szCs w:val="28"/>
        </w:rPr>
      </w:pPr>
    </w:p>
    <w:p w:rsidR="008815AE" w:rsidRPr="008815AE" w:rsidRDefault="0056499F" w:rsidP="0056499F">
      <w:pPr>
        <w:pStyle w:val="Titre1"/>
        <w:numPr>
          <w:ilvl w:val="0"/>
          <w:numId w:val="11"/>
        </w:numPr>
        <w:spacing w:line="360" w:lineRule="auto"/>
      </w:pPr>
      <w:bookmarkStart w:id="2" w:name="_Toc168913613"/>
      <w:r>
        <w:t>Qu</w:t>
      </w:r>
      <w:r w:rsidR="008815AE">
        <w:t xml:space="preserve">elles missions </w:t>
      </w:r>
      <w:r>
        <w:t>?</w:t>
      </w:r>
      <w:bookmarkEnd w:id="2"/>
      <w:r>
        <w:t xml:space="preserve"> </w:t>
      </w:r>
    </w:p>
    <w:p w:rsidR="008815AE" w:rsidRDefault="008815AE" w:rsidP="0056499F">
      <w:pPr>
        <w:spacing w:line="360" w:lineRule="auto"/>
        <w:rPr>
          <w:sz w:val="28"/>
          <w:szCs w:val="28"/>
        </w:rPr>
      </w:pPr>
      <w:r w:rsidRPr="008815AE">
        <w:rPr>
          <w:sz w:val="28"/>
          <w:szCs w:val="28"/>
        </w:rPr>
        <w:t xml:space="preserve">Le référent handicap est une </w:t>
      </w:r>
      <w:r w:rsidRPr="008815AE">
        <w:rPr>
          <w:b/>
          <w:bCs/>
          <w:sz w:val="28"/>
          <w:szCs w:val="28"/>
        </w:rPr>
        <w:t>personne ressource</w:t>
      </w:r>
      <w:r w:rsidRPr="008815AE">
        <w:rPr>
          <w:sz w:val="28"/>
          <w:szCs w:val="28"/>
        </w:rPr>
        <w:t xml:space="preserve"> pour les publics en situation de handicap, les professionnels de l’établissement et les </w:t>
      </w:r>
      <w:r w:rsidRPr="008815AE">
        <w:rPr>
          <w:sz w:val="28"/>
          <w:szCs w:val="28"/>
        </w:rPr>
        <w:lastRenderedPageBreak/>
        <w:t>structures partenaires. C’est une personne volontaire, formée et ayant des compétences spécifiques. Le référent peut-être un professionnel de l’équipe administrative, de l’équipe d’accueil ou de l’équipe de médiation.</w:t>
      </w:r>
      <w:r>
        <w:rPr>
          <w:sz w:val="28"/>
          <w:szCs w:val="28"/>
        </w:rPr>
        <w:t xml:space="preserve"> </w:t>
      </w:r>
    </w:p>
    <w:p w:rsidR="008815AE" w:rsidRPr="008815AE" w:rsidRDefault="008815AE" w:rsidP="008815AE">
      <w:pPr>
        <w:spacing w:line="360" w:lineRule="auto"/>
        <w:rPr>
          <w:sz w:val="28"/>
          <w:szCs w:val="28"/>
        </w:rPr>
      </w:pPr>
      <w:r w:rsidRPr="008815AE">
        <w:rPr>
          <w:sz w:val="28"/>
          <w:szCs w:val="28"/>
        </w:rPr>
        <w:t xml:space="preserve">Il doit d’abord </w:t>
      </w:r>
      <w:r w:rsidRPr="008815AE">
        <w:rPr>
          <w:b/>
          <w:bCs/>
          <w:sz w:val="28"/>
          <w:szCs w:val="28"/>
        </w:rPr>
        <w:t xml:space="preserve">faire un état des lieux </w:t>
      </w:r>
      <w:r w:rsidRPr="008815AE">
        <w:rPr>
          <w:sz w:val="28"/>
          <w:szCs w:val="28"/>
        </w:rPr>
        <w:t xml:space="preserve">ce qui se fait déjà, dans son établissement et dans d’autres, déterminer les offres de sa structure qui sont naturellement accessible et celles qui nécessitent d’être adaptées. Il vérifie l’accessibilité à </w:t>
      </w:r>
      <w:r w:rsidRPr="008815AE">
        <w:rPr>
          <w:b/>
          <w:bCs/>
          <w:sz w:val="28"/>
          <w:szCs w:val="28"/>
        </w:rPr>
        <w:t>toutes les informations</w:t>
      </w:r>
      <w:r w:rsidRPr="008815AE">
        <w:rPr>
          <w:sz w:val="28"/>
          <w:szCs w:val="28"/>
        </w:rPr>
        <w:t xml:space="preserve"> tout au long de la chaîne d’accessibilité.</w:t>
      </w:r>
    </w:p>
    <w:p w:rsidR="008815AE" w:rsidRPr="008815AE" w:rsidRDefault="008815AE" w:rsidP="008815AE">
      <w:pPr>
        <w:spacing w:line="360" w:lineRule="auto"/>
        <w:rPr>
          <w:sz w:val="28"/>
          <w:szCs w:val="28"/>
        </w:rPr>
      </w:pPr>
      <w:r w:rsidRPr="008815AE">
        <w:rPr>
          <w:sz w:val="28"/>
          <w:szCs w:val="28"/>
        </w:rPr>
        <w:t xml:space="preserve">Il met en place les actions de </w:t>
      </w:r>
      <w:r w:rsidRPr="008815AE">
        <w:rPr>
          <w:b/>
          <w:bCs/>
          <w:sz w:val="28"/>
          <w:szCs w:val="28"/>
        </w:rPr>
        <w:t>sensibilisation des personnels</w:t>
      </w:r>
      <w:r w:rsidRPr="008815AE">
        <w:rPr>
          <w:sz w:val="28"/>
          <w:szCs w:val="28"/>
        </w:rPr>
        <w:t xml:space="preserve"> sur l’accueil des publics en situation de handicap ainsi que des actions culturelles à destination des publics et des structures médico-sociales. Il est également appelé à trouver les partenaires possibles pour répondre aux différents besoins d’accessibilité identifiés (Pôles Art et Handicap, centres ressources, services et prestataires pour l’accessibilité) et favorise le travail en réseau avec ces partenaires.</w:t>
      </w:r>
    </w:p>
    <w:p w:rsidR="008815AE" w:rsidRDefault="008815AE" w:rsidP="0056499F">
      <w:pPr>
        <w:spacing w:line="360" w:lineRule="auto"/>
        <w:rPr>
          <w:sz w:val="28"/>
          <w:szCs w:val="28"/>
        </w:rPr>
      </w:pPr>
    </w:p>
    <w:p w:rsidR="008815AE" w:rsidRPr="008815AE" w:rsidRDefault="008815AE" w:rsidP="0056499F">
      <w:pPr>
        <w:pStyle w:val="Titre1"/>
        <w:numPr>
          <w:ilvl w:val="0"/>
          <w:numId w:val="11"/>
        </w:numPr>
        <w:spacing w:line="360" w:lineRule="auto"/>
      </w:pPr>
      <w:bookmarkStart w:id="3" w:name="_Toc168913614"/>
      <w:r>
        <w:t>Accessibilité, conception universelle et démocratie culturelle</w:t>
      </w:r>
      <w:bookmarkEnd w:id="3"/>
      <w:r>
        <w:t xml:space="preserve"> </w:t>
      </w:r>
    </w:p>
    <w:p w:rsidR="00A10013" w:rsidRDefault="008815AE" w:rsidP="008815AE">
      <w:pPr>
        <w:spacing w:line="360" w:lineRule="auto"/>
        <w:rPr>
          <w:sz w:val="28"/>
          <w:szCs w:val="28"/>
        </w:rPr>
      </w:pPr>
      <w:r>
        <w:rPr>
          <w:sz w:val="28"/>
          <w:szCs w:val="28"/>
        </w:rPr>
        <w:t xml:space="preserve">La </w:t>
      </w:r>
      <w:r w:rsidRPr="008815AE">
        <w:rPr>
          <w:sz w:val="28"/>
          <w:szCs w:val="28"/>
        </w:rPr>
        <w:t xml:space="preserve">présence d’un référent handicap permet de penser une </w:t>
      </w:r>
      <w:r w:rsidRPr="008815AE">
        <w:rPr>
          <w:b/>
          <w:bCs/>
          <w:sz w:val="28"/>
          <w:szCs w:val="28"/>
        </w:rPr>
        <w:t>médiation accessible dès sa création</w:t>
      </w:r>
      <w:r w:rsidRPr="008815AE">
        <w:rPr>
          <w:sz w:val="28"/>
          <w:szCs w:val="28"/>
        </w:rPr>
        <w:t>, c’est-à-dire penser à chaque besoin spécifique en amont. Cela permet ainsi de d’affranchir de solutions d’adaptation et de compensation par la suite. La médiation est ainsi repensée en conception universelle :</w:t>
      </w:r>
    </w:p>
    <w:p w:rsidR="008815AE" w:rsidRDefault="008815AE" w:rsidP="008815AE">
      <w:pPr>
        <w:spacing w:line="360" w:lineRule="auto"/>
        <w:rPr>
          <w:sz w:val="28"/>
          <w:szCs w:val="28"/>
        </w:rPr>
      </w:pPr>
    </w:p>
    <w:p w:rsidR="008815AE" w:rsidRDefault="008815AE" w:rsidP="008815AE">
      <w:pPr>
        <w:spacing w:line="360" w:lineRule="auto"/>
        <w:rPr>
          <w:sz w:val="28"/>
          <w:szCs w:val="28"/>
        </w:rPr>
      </w:pPr>
    </w:p>
    <w:p w:rsidR="008815AE" w:rsidRPr="008815AE" w:rsidRDefault="008815AE" w:rsidP="008815AE">
      <w:pPr>
        <w:pStyle w:val="Encart"/>
        <w:spacing w:line="360" w:lineRule="auto"/>
        <w:rPr>
          <w:sz w:val="28"/>
          <w:szCs w:val="28"/>
        </w:rPr>
      </w:pPr>
      <w:r w:rsidRPr="008815AE">
        <w:rPr>
          <w:rStyle w:val="oypena"/>
          <w:color w:val="000000"/>
          <w:sz w:val="28"/>
          <w:szCs w:val="28"/>
        </w:rPr>
        <w:t>« Si tous les publics ne sont pas touchés par l’universel, il faut</w:t>
      </w:r>
      <w:r>
        <w:rPr>
          <w:rStyle w:val="oypena"/>
          <w:color w:val="000000"/>
          <w:sz w:val="28"/>
          <w:szCs w:val="28"/>
        </w:rPr>
        <w:t xml:space="preserve"> </w:t>
      </w:r>
      <w:r w:rsidRPr="008815AE">
        <w:rPr>
          <w:rStyle w:val="oypena"/>
          <w:color w:val="000000"/>
          <w:sz w:val="28"/>
          <w:szCs w:val="28"/>
        </w:rPr>
        <w:t>augmenter les publics à cibler dans le cahier des charges afin d’augmenter l’universalité de la médiation. »</w:t>
      </w:r>
      <w:r w:rsidR="005A1A9A">
        <w:rPr>
          <w:rStyle w:val="Appelnotedebasdep"/>
          <w:color w:val="000000"/>
          <w:sz w:val="28"/>
          <w:szCs w:val="28"/>
        </w:rPr>
        <w:footnoteReference w:id="1"/>
      </w:r>
    </w:p>
    <w:p w:rsidR="008815AE" w:rsidRDefault="008815AE" w:rsidP="00081081">
      <w:pPr>
        <w:spacing w:line="360" w:lineRule="auto"/>
        <w:rPr>
          <w:sz w:val="28"/>
          <w:szCs w:val="28"/>
        </w:rPr>
      </w:pPr>
      <w:r w:rsidRPr="008815AE">
        <w:rPr>
          <w:sz w:val="28"/>
          <w:szCs w:val="28"/>
        </w:rPr>
        <w:t>Penser sa médiation en terme</w:t>
      </w:r>
      <w:r>
        <w:rPr>
          <w:sz w:val="28"/>
          <w:szCs w:val="28"/>
        </w:rPr>
        <w:t>s</w:t>
      </w:r>
      <w:r w:rsidRPr="008815AE">
        <w:rPr>
          <w:sz w:val="28"/>
          <w:szCs w:val="28"/>
        </w:rPr>
        <w:t xml:space="preserve"> d’universalité ne bénéficie pas qu’aux publics en situation de handicap :</w:t>
      </w:r>
    </w:p>
    <w:p w:rsidR="008815AE" w:rsidRDefault="008815AE" w:rsidP="005A1A9A">
      <w:pPr>
        <w:pStyle w:val="Encart"/>
        <w:spacing w:line="360" w:lineRule="auto"/>
        <w:rPr>
          <w:sz w:val="28"/>
          <w:szCs w:val="28"/>
        </w:rPr>
      </w:pPr>
      <w:r w:rsidRPr="008815AE">
        <w:rPr>
          <w:rStyle w:val="oypena"/>
          <w:color w:val="000000"/>
          <w:sz w:val="28"/>
          <w:szCs w:val="28"/>
        </w:rPr>
        <w:t>« L’accès des handicapés aux biens culturels va ainsi être promu comme cas particulier, mais extrême et donc profitable à l’ensemble, l’accès aux personnes exclues à un titre ou un autre de la jouissance de ces biens »</w:t>
      </w:r>
      <w:r w:rsidR="005A1A9A">
        <w:rPr>
          <w:rStyle w:val="Appelnotedebasdep"/>
          <w:color w:val="000000"/>
          <w:sz w:val="28"/>
          <w:szCs w:val="28"/>
        </w:rPr>
        <w:footnoteReference w:id="2"/>
      </w:r>
    </w:p>
    <w:p w:rsidR="008815AE" w:rsidRPr="0056499F" w:rsidRDefault="008815AE" w:rsidP="00081081">
      <w:pPr>
        <w:spacing w:line="360" w:lineRule="auto"/>
        <w:rPr>
          <w:sz w:val="28"/>
          <w:szCs w:val="28"/>
        </w:rPr>
      </w:pPr>
      <w:r w:rsidRPr="008815AE">
        <w:rPr>
          <w:sz w:val="28"/>
          <w:szCs w:val="28"/>
        </w:rPr>
        <w:t>Ainsi, la présence du référent handicap facilite l’accès à tous les publics éloignés. La fréquentation, encore faible, des lieux culturels montre qu’il existe encore des entraves pour certains publics et donc une forme d’inaccessibilité.</w:t>
      </w:r>
    </w:p>
    <w:p w:rsidR="00787664" w:rsidRPr="007C23AC" w:rsidRDefault="008376AE" w:rsidP="007C23AC">
      <w:pPr>
        <w:pStyle w:val="Titre1"/>
        <w:numPr>
          <w:ilvl w:val="0"/>
          <w:numId w:val="11"/>
        </w:numPr>
      </w:pPr>
      <w:bookmarkStart w:id="4" w:name="_Toc168913615"/>
      <w:r w:rsidRPr="007C23AC">
        <w:t>Ressources</w:t>
      </w:r>
      <w:bookmarkEnd w:id="4"/>
      <w:r w:rsidR="00081081" w:rsidRPr="007C23AC">
        <w:t> </w:t>
      </w:r>
    </w:p>
    <w:p w:rsidR="005A1A9A" w:rsidRPr="005A1A9A" w:rsidRDefault="005A1A9A" w:rsidP="005A1A9A">
      <w:pPr>
        <w:pStyle w:val="Paragraphedeliste"/>
        <w:numPr>
          <w:ilvl w:val="0"/>
          <w:numId w:val="12"/>
        </w:numPr>
        <w:spacing w:line="360" w:lineRule="auto"/>
        <w:rPr>
          <w:sz w:val="28"/>
          <w:szCs w:val="28"/>
        </w:rPr>
      </w:pPr>
      <w:r w:rsidRPr="005A1A9A">
        <w:rPr>
          <w:sz w:val="28"/>
          <w:szCs w:val="28"/>
        </w:rPr>
        <w:t xml:space="preserve">Collection des guides </w:t>
      </w:r>
      <w:hyperlink r:id="rId8" w:history="1">
        <w:r w:rsidRPr="00D10722">
          <w:rPr>
            <w:rStyle w:val="Lienhypertexte"/>
            <w:sz w:val="28"/>
            <w:szCs w:val="28"/>
          </w:rPr>
          <w:t>Culture et Handicap</w:t>
        </w:r>
      </w:hyperlink>
      <w:r w:rsidR="007335DA">
        <w:rPr>
          <w:rStyle w:val="Lienhypertexte"/>
          <w:sz w:val="28"/>
          <w:szCs w:val="28"/>
        </w:rPr>
        <w:t xml:space="preserve"> (culture.gouv.fr)</w:t>
      </w:r>
      <w:r w:rsidRPr="005A1A9A">
        <w:rPr>
          <w:sz w:val="28"/>
          <w:szCs w:val="28"/>
        </w:rPr>
        <w:t>, Ministère de la Culture</w:t>
      </w:r>
    </w:p>
    <w:p w:rsidR="005A1A9A" w:rsidRPr="005A1A9A" w:rsidRDefault="007335DA" w:rsidP="005A1A9A">
      <w:pPr>
        <w:pStyle w:val="Paragraphedeliste"/>
        <w:numPr>
          <w:ilvl w:val="0"/>
          <w:numId w:val="12"/>
        </w:numPr>
        <w:spacing w:line="360" w:lineRule="auto"/>
        <w:rPr>
          <w:sz w:val="28"/>
          <w:szCs w:val="28"/>
        </w:rPr>
      </w:pPr>
      <w:hyperlink r:id="rId9" w:history="1">
        <w:r w:rsidR="005A1A9A" w:rsidRPr="00D10722">
          <w:rPr>
            <w:rStyle w:val="Lienhypertexte"/>
            <w:sz w:val="28"/>
            <w:szCs w:val="28"/>
          </w:rPr>
          <w:t>Il n’y a pas de public spécifique</w:t>
        </w:r>
      </w:hyperlink>
      <w:r>
        <w:rPr>
          <w:rStyle w:val="Lienhypertexte"/>
          <w:sz w:val="28"/>
          <w:szCs w:val="28"/>
        </w:rPr>
        <w:t xml:space="preserve"> (cairn.info)</w:t>
      </w:r>
      <w:r w:rsidR="005A1A9A" w:rsidRPr="005A1A9A">
        <w:rPr>
          <w:sz w:val="28"/>
          <w:szCs w:val="28"/>
        </w:rPr>
        <w:t xml:space="preserve">, Bordeaux et </w:t>
      </w:r>
      <w:proofErr w:type="spellStart"/>
      <w:r w:rsidR="005A1A9A" w:rsidRPr="005A1A9A">
        <w:rPr>
          <w:sz w:val="28"/>
          <w:szCs w:val="28"/>
        </w:rPr>
        <w:t>Pignot</w:t>
      </w:r>
      <w:proofErr w:type="spellEnd"/>
      <w:r w:rsidR="005A1A9A" w:rsidRPr="005A1A9A">
        <w:rPr>
          <w:sz w:val="28"/>
          <w:szCs w:val="28"/>
        </w:rPr>
        <w:t>, 2007</w:t>
      </w:r>
    </w:p>
    <w:p w:rsidR="005A1A9A" w:rsidRPr="005A1A9A" w:rsidRDefault="007335DA" w:rsidP="005A1A9A">
      <w:pPr>
        <w:pStyle w:val="Paragraphedeliste"/>
        <w:numPr>
          <w:ilvl w:val="0"/>
          <w:numId w:val="12"/>
        </w:numPr>
        <w:spacing w:line="360" w:lineRule="auto"/>
        <w:rPr>
          <w:sz w:val="28"/>
          <w:szCs w:val="28"/>
        </w:rPr>
      </w:pPr>
      <w:hyperlink r:id="rId10" w:history="1">
        <w:r w:rsidR="005A1A9A" w:rsidRPr="00D10722">
          <w:rPr>
            <w:rStyle w:val="Lienhypertexte"/>
            <w:sz w:val="28"/>
            <w:szCs w:val="28"/>
          </w:rPr>
          <w:t>La voie de l’inclusion par la médiation au musée des beaux-arts : des publics fragilisés au public universel</w:t>
        </w:r>
      </w:hyperlink>
      <w:r>
        <w:rPr>
          <w:rStyle w:val="Lienhypertexte"/>
          <w:sz w:val="28"/>
          <w:szCs w:val="28"/>
        </w:rPr>
        <w:t xml:space="preserve"> (openedition.org)</w:t>
      </w:r>
      <w:r w:rsidR="005A1A9A" w:rsidRPr="005A1A9A">
        <w:rPr>
          <w:sz w:val="28"/>
          <w:szCs w:val="28"/>
        </w:rPr>
        <w:t>, Molinier, 2021</w:t>
      </w:r>
    </w:p>
    <w:p w:rsidR="005A1A9A" w:rsidRPr="005A1A9A" w:rsidRDefault="007335DA" w:rsidP="005A1A9A">
      <w:pPr>
        <w:pStyle w:val="Paragraphedeliste"/>
        <w:numPr>
          <w:ilvl w:val="0"/>
          <w:numId w:val="12"/>
        </w:numPr>
        <w:spacing w:line="360" w:lineRule="auto"/>
        <w:rPr>
          <w:sz w:val="28"/>
          <w:szCs w:val="28"/>
        </w:rPr>
      </w:pPr>
      <w:hyperlink r:id="rId11" w:history="1">
        <w:r w:rsidR="005A1A9A" w:rsidRPr="00D10722">
          <w:rPr>
            <w:rStyle w:val="Lienhypertexte"/>
            <w:sz w:val="28"/>
            <w:szCs w:val="28"/>
          </w:rPr>
          <w:t>Démocratisation de la culture et/ou démocratie culturelle ? Comment repenser aujourd’hui une politique de démocratisation de la culture ?</w:t>
        </w:r>
        <w:r>
          <w:rPr>
            <w:rStyle w:val="Lienhypertexte"/>
            <w:sz w:val="28"/>
            <w:szCs w:val="28"/>
          </w:rPr>
          <w:t xml:space="preserve"> (</w:t>
        </w:r>
        <w:proofErr w:type="gramStart"/>
        <w:r>
          <w:rPr>
            <w:rStyle w:val="Lienhypertexte"/>
            <w:sz w:val="28"/>
            <w:szCs w:val="28"/>
          </w:rPr>
          <w:t>academia.edu</w:t>
        </w:r>
        <w:proofErr w:type="gramEnd"/>
        <w:r>
          <w:rPr>
            <w:rStyle w:val="Lienhypertexte"/>
            <w:sz w:val="28"/>
            <w:szCs w:val="28"/>
          </w:rPr>
          <w:t>)</w:t>
        </w:r>
        <w:r w:rsidR="005A1A9A" w:rsidRPr="00D10722">
          <w:rPr>
            <w:rStyle w:val="Lienhypertexte"/>
            <w:sz w:val="28"/>
            <w:szCs w:val="28"/>
          </w:rPr>
          <w:t>,</w:t>
        </w:r>
      </w:hyperlink>
      <w:r w:rsidR="005A1A9A" w:rsidRPr="005A1A9A">
        <w:rPr>
          <w:sz w:val="28"/>
          <w:szCs w:val="28"/>
        </w:rPr>
        <w:t xml:space="preserve"> </w:t>
      </w:r>
      <w:proofErr w:type="spellStart"/>
      <w:r w:rsidR="005A1A9A" w:rsidRPr="005A1A9A">
        <w:rPr>
          <w:sz w:val="28"/>
          <w:szCs w:val="28"/>
        </w:rPr>
        <w:t>Génard</w:t>
      </w:r>
      <w:proofErr w:type="spellEnd"/>
      <w:r w:rsidR="005A1A9A" w:rsidRPr="005A1A9A">
        <w:rPr>
          <w:sz w:val="28"/>
          <w:szCs w:val="28"/>
        </w:rPr>
        <w:t>, 2011</w:t>
      </w:r>
    </w:p>
    <w:p w:rsidR="005A1A9A" w:rsidRPr="005A1A9A" w:rsidRDefault="007335DA" w:rsidP="005A1A9A">
      <w:pPr>
        <w:pStyle w:val="Paragraphedeliste"/>
        <w:numPr>
          <w:ilvl w:val="0"/>
          <w:numId w:val="12"/>
        </w:numPr>
        <w:spacing w:line="360" w:lineRule="auto"/>
        <w:rPr>
          <w:sz w:val="28"/>
          <w:szCs w:val="28"/>
        </w:rPr>
      </w:pPr>
      <w:hyperlink r:id="rId12" w:history="1">
        <w:r w:rsidR="005A1A9A" w:rsidRPr="00D10722">
          <w:rPr>
            <w:rStyle w:val="Lienhypertexte"/>
            <w:sz w:val="28"/>
            <w:szCs w:val="28"/>
          </w:rPr>
          <w:t>Chaîne d’accessibilité</w:t>
        </w:r>
        <w:r w:rsidR="00D10722" w:rsidRPr="00D10722">
          <w:rPr>
            <w:rStyle w:val="Lienhypertexte"/>
            <w:sz w:val="28"/>
            <w:szCs w:val="28"/>
          </w:rPr>
          <w:t xml:space="preserve"> culturelle</w:t>
        </w:r>
      </w:hyperlink>
      <w:r>
        <w:rPr>
          <w:rStyle w:val="Lienhypertexte"/>
          <w:sz w:val="28"/>
          <w:szCs w:val="28"/>
        </w:rPr>
        <w:t xml:space="preserve"> (plateforme-cshd-occitanie.com)</w:t>
      </w:r>
      <w:r w:rsidR="005A1A9A" w:rsidRPr="005A1A9A">
        <w:rPr>
          <w:sz w:val="28"/>
          <w:szCs w:val="28"/>
        </w:rPr>
        <w:t xml:space="preserve"> </w:t>
      </w:r>
    </w:p>
    <w:p w:rsidR="007C23AC" w:rsidRPr="005A1A9A" w:rsidRDefault="005A1A9A" w:rsidP="007C23AC">
      <w:pPr>
        <w:pStyle w:val="Paragraphedeliste"/>
        <w:numPr>
          <w:ilvl w:val="0"/>
          <w:numId w:val="12"/>
        </w:numPr>
        <w:spacing w:line="360" w:lineRule="auto"/>
        <w:rPr>
          <w:sz w:val="28"/>
          <w:szCs w:val="28"/>
        </w:rPr>
      </w:pPr>
      <w:r w:rsidRPr="005A1A9A">
        <w:rPr>
          <w:sz w:val="28"/>
          <w:szCs w:val="28"/>
        </w:rPr>
        <w:t xml:space="preserve">Formation professionnelle : </w:t>
      </w:r>
      <w:hyperlink r:id="rId13" w:history="1">
        <w:r w:rsidRPr="00D10722">
          <w:rPr>
            <w:rStyle w:val="Lienhypertexte"/>
            <w:sz w:val="28"/>
            <w:szCs w:val="28"/>
          </w:rPr>
          <w:t>Devenir référent handicap en établissement culturel sur le site de Souffleurs de Sens</w:t>
        </w:r>
      </w:hyperlink>
      <w:r w:rsidRPr="005A1A9A">
        <w:rPr>
          <w:sz w:val="28"/>
          <w:szCs w:val="28"/>
        </w:rPr>
        <w:t xml:space="preserve"> (onglet “formations-sensibilisations”)</w:t>
      </w:r>
    </w:p>
    <w:p w:rsidR="007C23AC" w:rsidRPr="00A7757D" w:rsidRDefault="007C23AC" w:rsidP="007C23AC">
      <w:pPr>
        <w:spacing w:line="360" w:lineRule="auto"/>
        <w:rPr>
          <w:sz w:val="28"/>
          <w:szCs w:val="28"/>
        </w:rPr>
      </w:pPr>
      <w:r w:rsidRPr="00A7757D">
        <w:rPr>
          <w:sz w:val="28"/>
          <w:szCs w:val="28"/>
        </w:rPr>
        <w:t xml:space="preserve">Pour plus d’informations, contacter le pôle Art et Handicap 75 de Souffleurs de Sens : </w:t>
      </w:r>
      <w:hyperlink r:id="rId14" w:history="1">
        <w:r w:rsidRPr="000C75DB">
          <w:rPr>
            <w:rStyle w:val="Lienhypertexte"/>
            <w:sz w:val="28"/>
            <w:szCs w:val="28"/>
          </w:rPr>
          <w:t>contact@souffleursdesens.org</w:t>
        </w:r>
      </w:hyperlink>
      <w:r>
        <w:rPr>
          <w:sz w:val="28"/>
          <w:szCs w:val="28"/>
        </w:rPr>
        <w:t xml:space="preserve"> </w:t>
      </w:r>
    </w:p>
    <w:p w:rsidR="007C23AC" w:rsidRPr="007C23AC" w:rsidRDefault="007C23AC" w:rsidP="007C23AC">
      <w:pPr>
        <w:spacing w:line="360" w:lineRule="auto"/>
        <w:rPr>
          <w:sz w:val="28"/>
          <w:szCs w:val="28"/>
        </w:rPr>
      </w:pPr>
    </w:p>
    <w:sectPr w:rsidR="007C23AC" w:rsidRPr="007C23AC" w:rsidSect="00E14917">
      <w:headerReference w:type="default" r:id="rId15"/>
      <w:footerReference w:type="default" r:id="rId16"/>
      <w:headerReference w:type="first" r:id="rId17"/>
      <w:footerReference w:type="first" r:id="rId18"/>
      <w:pgSz w:w="11906" w:h="16838"/>
      <w:pgMar w:top="1530" w:right="1417" w:bottom="1417" w:left="1417" w:header="850"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831" w:rsidRDefault="00813831" w:rsidP="00813831">
      <w:pPr>
        <w:spacing w:after="0"/>
      </w:pPr>
      <w:r>
        <w:separator/>
      </w:r>
    </w:p>
  </w:endnote>
  <w:endnote w:type="continuationSeparator" w:id="0">
    <w:p w:rsidR="00813831" w:rsidRDefault="00813831" w:rsidP="00813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02722"/>
      <w:docPartObj>
        <w:docPartGallery w:val="Page Numbers (Bottom of Page)"/>
        <w:docPartUnique/>
      </w:docPartObj>
    </w:sdtPr>
    <w:sdtEnd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36651"/>
      <w:docPartObj>
        <w:docPartGallery w:val="Page Numbers (Bottom of Page)"/>
        <w:docPartUnique/>
      </w:docPartObj>
    </w:sdtPr>
    <w:sdtEnd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831" w:rsidRDefault="00813831" w:rsidP="00813831">
      <w:pPr>
        <w:spacing w:after="0"/>
      </w:pPr>
      <w:r>
        <w:separator/>
      </w:r>
    </w:p>
  </w:footnote>
  <w:footnote w:type="continuationSeparator" w:id="0">
    <w:p w:rsidR="00813831" w:rsidRDefault="00813831" w:rsidP="00813831">
      <w:pPr>
        <w:spacing w:after="0"/>
      </w:pPr>
      <w:r>
        <w:continuationSeparator/>
      </w:r>
    </w:p>
  </w:footnote>
  <w:footnote w:id="1">
    <w:p w:rsidR="005A1A9A" w:rsidRPr="005A1A9A" w:rsidRDefault="005A1A9A">
      <w:pPr>
        <w:pStyle w:val="Notedebasdepage"/>
        <w:rPr>
          <w:sz w:val="24"/>
          <w:szCs w:val="24"/>
        </w:rPr>
      </w:pPr>
      <w:r w:rsidRPr="005A1A9A">
        <w:rPr>
          <w:rStyle w:val="Appelnotedebasdep"/>
          <w:sz w:val="24"/>
          <w:szCs w:val="24"/>
        </w:rPr>
        <w:footnoteRef/>
      </w:r>
      <w:r w:rsidRPr="005A1A9A">
        <w:rPr>
          <w:sz w:val="24"/>
          <w:szCs w:val="24"/>
        </w:rPr>
        <w:t xml:space="preserve"> La </w:t>
      </w:r>
      <w:r w:rsidRPr="005A1A9A">
        <w:rPr>
          <w:rStyle w:val="oypena"/>
          <w:color w:val="000000"/>
          <w:sz w:val="24"/>
          <w:szCs w:val="24"/>
        </w:rPr>
        <w:t>voie de l’inclusion par la médiation au musée des beaux-arts : des publics fragilisés au public universel, Molinier, 2021</w:t>
      </w:r>
    </w:p>
  </w:footnote>
  <w:footnote w:id="2">
    <w:p w:rsidR="005A1A9A" w:rsidRPr="005A1A9A" w:rsidRDefault="005A1A9A">
      <w:pPr>
        <w:pStyle w:val="Notedebasdepage"/>
        <w:rPr>
          <w:sz w:val="24"/>
          <w:szCs w:val="24"/>
        </w:rPr>
      </w:pPr>
      <w:r w:rsidRPr="005A1A9A">
        <w:rPr>
          <w:rStyle w:val="Appelnotedebasdep"/>
          <w:sz w:val="24"/>
          <w:szCs w:val="24"/>
        </w:rPr>
        <w:footnoteRef/>
      </w:r>
      <w:r w:rsidRPr="005A1A9A">
        <w:rPr>
          <w:sz w:val="24"/>
          <w:szCs w:val="24"/>
        </w:rPr>
        <w:t xml:space="preserve"> </w:t>
      </w:r>
      <w:r w:rsidRPr="005A1A9A">
        <w:rPr>
          <w:rStyle w:val="oypena"/>
          <w:color w:val="000000"/>
          <w:sz w:val="24"/>
          <w:szCs w:val="24"/>
        </w:rPr>
        <w:t>Handicap, pratiques culturelles et participation sociale, Dubois,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EC5" w:rsidRDefault="00160EC5">
    <w:pPr>
      <w:pStyle w:val="En-tte"/>
    </w:pPr>
    <w:r>
      <w:rPr>
        <w:noProof/>
      </w:rPr>
      <w:drawing>
        <wp:anchor distT="0" distB="0" distL="114300" distR="114300" simplePos="0" relativeHeight="251658240" behindDoc="1" locked="0" layoutInCell="1" allowOverlap="1" wp14:anchorId="4A32EB53">
          <wp:simplePos x="0" y="0"/>
          <wp:positionH relativeFrom="column">
            <wp:posOffset>2048247</wp:posOffset>
          </wp:positionH>
          <wp:positionV relativeFrom="paragraph">
            <wp:posOffset>-240293</wp:posOffset>
          </wp:positionV>
          <wp:extent cx="945283" cy="598849"/>
          <wp:effectExtent l="0" t="0" r="7620" b="0"/>
          <wp:wrapTight wrapText="bothSides">
            <wp:wrapPolygon edited="0">
              <wp:start x="0" y="0"/>
              <wp:lineTo x="0" y="20615"/>
              <wp:lineTo x="21339" y="20615"/>
              <wp:lineTo x="2133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83" cy="59884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D4" w:rsidRDefault="007525D4" w:rsidP="007525D4">
    <w:pPr>
      <w:pStyle w:val="En-tte"/>
      <w:tabs>
        <w:tab w:val="clear" w:pos="4536"/>
        <w:tab w:val="clear" w:pos="9072"/>
        <w:tab w:val="left" w:pos="6068"/>
      </w:tabs>
      <w:jc w:val="center"/>
    </w:pPr>
    <w:r>
      <w:rPr>
        <w:noProof/>
      </w:rPr>
      <w:drawing>
        <wp:inline distT="0" distB="0" distL="0" distR="0">
          <wp:extent cx="1140489" cy="720000"/>
          <wp:effectExtent l="0" t="0" r="254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UFFLEURS DE SENS_LOGO_NOIR.jpg"/>
                  <pic:cNvPicPr/>
                </pic:nvPicPr>
                <pic:blipFill>
                  <a:blip r:embed="rId1">
                    <a:extLst>
                      <a:ext uri="{28A0092B-C50C-407E-A947-70E740481C1C}">
                        <a14:useLocalDpi xmlns:a14="http://schemas.microsoft.com/office/drawing/2010/main" val="0"/>
                      </a:ext>
                    </a:extLst>
                  </a:blip>
                  <a:stretch>
                    <a:fillRect/>
                  </a:stretch>
                </pic:blipFill>
                <pic:spPr>
                  <a:xfrm>
                    <a:off x="0" y="0"/>
                    <a:ext cx="114048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577D"/>
    <w:multiLevelType w:val="hybridMultilevel"/>
    <w:tmpl w:val="400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A3DA2"/>
    <w:multiLevelType w:val="hybridMultilevel"/>
    <w:tmpl w:val="53F45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82BC8"/>
    <w:multiLevelType w:val="hybridMultilevel"/>
    <w:tmpl w:val="8380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932FE6"/>
    <w:multiLevelType w:val="multilevel"/>
    <w:tmpl w:val="87D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4263C"/>
    <w:multiLevelType w:val="hybridMultilevel"/>
    <w:tmpl w:val="1B502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726508"/>
    <w:multiLevelType w:val="multilevel"/>
    <w:tmpl w:val="040C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5D59C1"/>
    <w:multiLevelType w:val="multilevel"/>
    <w:tmpl w:val="22D8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3161C"/>
    <w:multiLevelType w:val="multilevel"/>
    <w:tmpl w:val="D408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F2EA6"/>
    <w:multiLevelType w:val="hybridMultilevel"/>
    <w:tmpl w:val="9D241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64504C"/>
    <w:multiLevelType w:val="multilevel"/>
    <w:tmpl w:val="80D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B2167"/>
    <w:multiLevelType w:val="hybridMultilevel"/>
    <w:tmpl w:val="396EA8E8"/>
    <w:lvl w:ilvl="0" w:tplc="9A5663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171D93"/>
    <w:multiLevelType w:val="hybridMultilevel"/>
    <w:tmpl w:val="983E1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FC2C27"/>
    <w:multiLevelType w:val="hybridMultilevel"/>
    <w:tmpl w:val="2B887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C60B4D"/>
    <w:multiLevelType w:val="hybridMultilevel"/>
    <w:tmpl w:val="59021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66AE0"/>
    <w:multiLevelType w:val="hybridMultilevel"/>
    <w:tmpl w:val="B9B4B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3"/>
  </w:num>
  <w:num w:numId="4">
    <w:abstractNumId w:val="11"/>
  </w:num>
  <w:num w:numId="5">
    <w:abstractNumId w:val="1"/>
  </w:num>
  <w:num w:numId="6">
    <w:abstractNumId w:val="4"/>
  </w:num>
  <w:num w:numId="7">
    <w:abstractNumId w:val="12"/>
  </w:num>
  <w:num w:numId="8">
    <w:abstractNumId w:val="8"/>
  </w:num>
  <w:num w:numId="9">
    <w:abstractNumId w:val="2"/>
  </w:num>
  <w:num w:numId="10">
    <w:abstractNumId w:val="10"/>
  </w:num>
  <w:num w:numId="11">
    <w:abstractNumId w:val="5"/>
  </w:num>
  <w:num w:numId="12">
    <w:abstractNumId w:val="6"/>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AE"/>
    <w:rsid w:val="00081081"/>
    <w:rsid w:val="000878B5"/>
    <w:rsid w:val="00154A01"/>
    <w:rsid w:val="00160EC5"/>
    <w:rsid w:val="001B2D71"/>
    <w:rsid w:val="001E5A13"/>
    <w:rsid w:val="002252D1"/>
    <w:rsid w:val="00226319"/>
    <w:rsid w:val="00474DCD"/>
    <w:rsid w:val="004B73B3"/>
    <w:rsid w:val="0056499F"/>
    <w:rsid w:val="005A1A9A"/>
    <w:rsid w:val="007335DA"/>
    <w:rsid w:val="007525D4"/>
    <w:rsid w:val="00787664"/>
    <w:rsid w:val="007C23AC"/>
    <w:rsid w:val="00813831"/>
    <w:rsid w:val="008376AE"/>
    <w:rsid w:val="008815AE"/>
    <w:rsid w:val="008B4A7E"/>
    <w:rsid w:val="00A10013"/>
    <w:rsid w:val="00A7757D"/>
    <w:rsid w:val="00D10722"/>
    <w:rsid w:val="00E14917"/>
    <w:rsid w:val="00EB388A"/>
    <w:rsid w:val="00FC4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226CED"/>
  <w15:chartTrackingRefBased/>
  <w15:docId w15:val="{B880E0D9-D441-4A81-964A-2722BAE9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A01"/>
    <w:pPr>
      <w:spacing w:after="100" w:afterAutospacing="1" w:line="240" w:lineRule="auto"/>
    </w:pPr>
    <w:rPr>
      <w:rFonts w:ascii="Arial" w:eastAsia="Times New Roman" w:hAnsi="Arial" w:cs="Arial"/>
      <w:sz w:val="24"/>
      <w:szCs w:val="24"/>
      <w:lang w:eastAsia="fr-FR"/>
    </w:rPr>
  </w:style>
  <w:style w:type="paragraph" w:styleId="Titre1">
    <w:name w:val="heading 1"/>
    <w:basedOn w:val="NormalWeb"/>
    <w:next w:val="Normal"/>
    <w:link w:val="Titre1Car"/>
    <w:uiPriority w:val="9"/>
    <w:qFormat/>
    <w:rsid w:val="008B4A7E"/>
    <w:pPr>
      <w:shd w:val="clear" w:color="auto" w:fill="535ECB"/>
      <w:spacing w:before="0" w:beforeAutospacing="0"/>
      <w:outlineLvl w:val="0"/>
    </w:pPr>
    <w:rPr>
      <w:rFonts w:ascii="Arial" w:hAnsi="Arial" w:cs="Arial"/>
      <w:color w:val="FFFFFF" w:themeColor="background1"/>
      <w:sz w:val="36"/>
      <w:szCs w:val="36"/>
    </w:rPr>
  </w:style>
  <w:style w:type="paragraph" w:styleId="Titre2">
    <w:name w:val="heading 2"/>
    <w:basedOn w:val="NormalWeb"/>
    <w:next w:val="Normal"/>
    <w:link w:val="Titre2Car"/>
    <w:uiPriority w:val="9"/>
    <w:unhideWhenUsed/>
    <w:qFormat/>
    <w:rsid w:val="008B4A7E"/>
    <w:pPr>
      <w:spacing w:before="0" w:beforeAutospacing="0"/>
      <w:outlineLvl w:val="1"/>
    </w:pPr>
    <w:rPr>
      <w:rFonts w:ascii="Arial" w:hAnsi="Arial" w:cs="Arial"/>
      <w:color w:val="535EC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unhideWhenUsed/>
    <w:rsid w:val="008376AE"/>
    <w:pPr>
      <w:spacing w:before="100" w:beforeAutospacing="1"/>
    </w:pPr>
    <w:rPr>
      <w:rFonts w:ascii="Times New Roman" w:hAnsi="Times New Roman" w:cs="Times New Roman"/>
    </w:rPr>
  </w:style>
  <w:style w:type="paragraph" w:styleId="Titre">
    <w:name w:val="Title"/>
    <w:basedOn w:val="Normal"/>
    <w:next w:val="Normal"/>
    <w:link w:val="TitreCar"/>
    <w:uiPriority w:val="10"/>
    <w:qFormat/>
    <w:rsid w:val="002252D1"/>
    <w:pPr>
      <w:shd w:val="clear" w:color="auto" w:fill="A8C7FE"/>
      <w:spacing w:after="240"/>
      <w:contextualSpacing/>
    </w:pPr>
    <w:rPr>
      <w:rFonts w:asciiTheme="majorHAnsi" w:eastAsiaTheme="majorEastAsia" w:hAnsiTheme="majorHAnsi" w:cstheme="majorBidi"/>
      <w:spacing w:val="-10"/>
      <w:kern w:val="28"/>
      <w:sz w:val="45"/>
      <w:szCs w:val="45"/>
    </w:rPr>
  </w:style>
  <w:style w:type="character" w:customStyle="1" w:styleId="TitreCar">
    <w:name w:val="Titre Car"/>
    <w:basedOn w:val="Policepardfaut"/>
    <w:link w:val="Titre"/>
    <w:uiPriority w:val="10"/>
    <w:rsid w:val="002252D1"/>
    <w:rPr>
      <w:rFonts w:asciiTheme="majorHAnsi" w:eastAsiaTheme="majorEastAsia" w:hAnsiTheme="majorHAnsi" w:cstheme="majorBidi"/>
      <w:spacing w:val="-10"/>
      <w:kern w:val="28"/>
      <w:sz w:val="45"/>
      <w:szCs w:val="45"/>
      <w:shd w:val="clear" w:color="auto" w:fill="A8C7FE"/>
    </w:rPr>
  </w:style>
  <w:style w:type="paragraph" w:customStyle="1" w:styleId="Encart">
    <w:name w:val="Encart"/>
    <w:basedOn w:val="Normal"/>
    <w:link w:val="EncartCar"/>
    <w:qFormat/>
    <w:rsid w:val="002252D1"/>
    <w:pPr>
      <w:shd w:val="clear" w:color="auto" w:fill="D9D9D9"/>
    </w:pPr>
  </w:style>
  <w:style w:type="character" w:customStyle="1" w:styleId="Titre1Car">
    <w:name w:val="Titre 1 Car"/>
    <w:basedOn w:val="Policepardfaut"/>
    <w:link w:val="Titre1"/>
    <w:uiPriority w:val="9"/>
    <w:rsid w:val="008B4A7E"/>
    <w:rPr>
      <w:rFonts w:ascii="Arial" w:eastAsia="Times New Roman" w:hAnsi="Arial" w:cs="Arial"/>
      <w:color w:val="FFFFFF" w:themeColor="background1"/>
      <w:sz w:val="36"/>
      <w:szCs w:val="36"/>
      <w:shd w:val="clear" w:color="auto" w:fill="535ECB"/>
      <w:lang w:eastAsia="fr-FR"/>
    </w:rPr>
  </w:style>
  <w:style w:type="character" w:customStyle="1" w:styleId="NormalWebCar">
    <w:name w:val="Normal (Web) Car"/>
    <w:basedOn w:val="Policepardfaut"/>
    <w:link w:val="NormalWeb"/>
    <w:uiPriority w:val="99"/>
    <w:rsid w:val="002252D1"/>
    <w:rPr>
      <w:rFonts w:ascii="Times New Roman" w:eastAsia="Times New Roman" w:hAnsi="Times New Roman" w:cs="Times New Roman"/>
      <w:sz w:val="24"/>
      <w:szCs w:val="24"/>
      <w:lang w:eastAsia="fr-FR"/>
    </w:rPr>
  </w:style>
  <w:style w:type="character" w:customStyle="1" w:styleId="EncartCar">
    <w:name w:val="Encart Car"/>
    <w:basedOn w:val="NormalWebCar"/>
    <w:link w:val="Encart"/>
    <w:rsid w:val="00154A01"/>
    <w:rPr>
      <w:rFonts w:ascii="Arial" w:eastAsia="Times New Roman" w:hAnsi="Arial" w:cs="Arial"/>
      <w:sz w:val="24"/>
      <w:szCs w:val="24"/>
      <w:shd w:val="clear" w:color="auto" w:fill="D9D9D9"/>
      <w:lang w:eastAsia="fr-FR"/>
    </w:rPr>
  </w:style>
  <w:style w:type="character" w:customStyle="1" w:styleId="Titre2Car">
    <w:name w:val="Titre 2 Car"/>
    <w:basedOn w:val="Policepardfaut"/>
    <w:link w:val="Titre2"/>
    <w:uiPriority w:val="9"/>
    <w:rsid w:val="008B4A7E"/>
    <w:rPr>
      <w:rFonts w:ascii="Arial" w:eastAsia="Times New Roman" w:hAnsi="Arial" w:cs="Arial"/>
      <w:color w:val="535ECB"/>
      <w:sz w:val="30"/>
      <w:szCs w:val="30"/>
      <w:lang w:eastAsia="fr-FR"/>
    </w:rPr>
  </w:style>
  <w:style w:type="character" w:styleId="Lienhypertexte">
    <w:name w:val="Hyperlink"/>
    <w:basedOn w:val="Policepardfaut"/>
    <w:uiPriority w:val="99"/>
    <w:unhideWhenUsed/>
    <w:rsid w:val="00154A01"/>
    <w:rPr>
      <w:color w:val="0563C1" w:themeColor="hyperlink"/>
      <w:u w:val="single"/>
    </w:rPr>
  </w:style>
  <w:style w:type="character" w:styleId="Mentionnonrsolue">
    <w:name w:val="Unresolved Mention"/>
    <w:basedOn w:val="Policepardfaut"/>
    <w:uiPriority w:val="99"/>
    <w:semiHidden/>
    <w:unhideWhenUsed/>
    <w:rsid w:val="00154A01"/>
    <w:rPr>
      <w:color w:val="605E5C"/>
      <w:shd w:val="clear" w:color="auto" w:fill="E1DFDD"/>
    </w:rPr>
  </w:style>
  <w:style w:type="paragraph" w:styleId="Paragraphedeliste">
    <w:name w:val="List Paragraph"/>
    <w:basedOn w:val="Normal"/>
    <w:uiPriority w:val="1"/>
    <w:qFormat/>
    <w:rsid w:val="00154A01"/>
    <w:pPr>
      <w:ind w:left="720"/>
      <w:contextualSpacing/>
    </w:pPr>
  </w:style>
  <w:style w:type="paragraph" w:styleId="En-tte">
    <w:name w:val="header"/>
    <w:basedOn w:val="Normal"/>
    <w:link w:val="En-tteCar"/>
    <w:uiPriority w:val="99"/>
    <w:unhideWhenUsed/>
    <w:rsid w:val="00813831"/>
    <w:pPr>
      <w:tabs>
        <w:tab w:val="center" w:pos="4536"/>
        <w:tab w:val="right" w:pos="9072"/>
      </w:tabs>
      <w:spacing w:after="0"/>
    </w:pPr>
  </w:style>
  <w:style w:type="character" w:customStyle="1" w:styleId="En-tteCar">
    <w:name w:val="En-tête Car"/>
    <w:basedOn w:val="Policepardfaut"/>
    <w:link w:val="En-tte"/>
    <w:uiPriority w:val="99"/>
    <w:rsid w:val="00813831"/>
    <w:rPr>
      <w:rFonts w:ascii="Arial" w:eastAsia="Times New Roman" w:hAnsi="Arial" w:cs="Arial"/>
      <w:sz w:val="24"/>
      <w:szCs w:val="24"/>
      <w:lang w:eastAsia="fr-FR"/>
    </w:rPr>
  </w:style>
  <w:style w:type="paragraph" w:styleId="Pieddepage">
    <w:name w:val="footer"/>
    <w:basedOn w:val="Normal"/>
    <w:link w:val="PieddepageCar"/>
    <w:uiPriority w:val="99"/>
    <w:unhideWhenUsed/>
    <w:rsid w:val="00813831"/>
    <w:pPr>
      <w:tabs>
        <w:tab w:val="center" w:pos="4536"/>
        <w:tab w:val="right" w:pos="9072"/>
      </w:tabs>
      <w:spacing w:after="0"/>
    </w:pPr>
  </w:style>
  <w:style w:type="character" w:customStyle="1" w:styleId="PieddepageCar">
    <w:name w:val="Pied de page Car"/>
    <w:basedOn w:val="Policepardfaut"/>
    <w:link w:val="Pieddepage"/>
    <w:uiPriority w:val="99"/>
    <w:rsid w:val="00813831"/>
    <w:rPr>
      <w:rFonts w:ascii="Arial" w:eastAsia="Times New Roman" w:hAnsi="Arial" w:cs="Arial"/>
      <w:sz w:val="24"/>
      <w:szCs w:val="24"/>
      <w:lang w:eastAsia="fr-FR"/>
    </w:rPr>
  </w:style>
  <w:style w:type="paragraph" w:styleId="En-ttedetabledesmatires">
    <w:name w:val="TOC Heading"/>
    <w:basedOn w:val="Titre1"/>
    <w:next w:val="Normal"/>
    <w:uiPriority w:val="39"/>
    <w:unhideWhenUsed/>
    <w:qFormat/>
    <w:rsid w:val="00160EC5"/>
    <w:pPr>
      <w:keepNext/>
      <w:keepLines/>
      <w:shd w:val="clear" w:color="auto" w:fill="auto"/>
      <w:spacing w:before="240" w:after="0" w:afterAutospacing="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160EC5"/>
  </w:style>
  <w:style w:type="paragraph" w:styleId="TM2">
    <w:name w:val="toc 2"/>
    <w:basedOn w:val="Normal"/>
    <w:next w:val="Normal"/>
    <w:autoRedefine/>
    <w:uiPriority w:val="39"/>
    <w:unhideWhenUsed/>
    <w:rsid w:val="00160EC5"/>
    <w:pPr>
      <w:ind w:left="240"/>
    </w:pPr>
  </w:style>
  <w:style w:type="character" w:styleId="Lienhypertextesuivivisit">
    <w:name w:val="FollowedHyperlink"/>
    <w:basedOn w:val="Policepardfaut"/>
    <w:uiPriority w:val="99"/>
    <w:semiHidden/>
    <w:unhideWhenUsed/>
    <w:rsid w:val="00160EC5"/>
    <w:rPr>
      <w:color w:val="954F72" w:themeColor="followedHyperlink"/>
      <w:u w:val="single"/>
    </w:rPr>
  </w:style>
  <w:style w:type="paragraph" w:styleId="Notedebasdepage">
    <w:name w:val="footnote text"/>
    <w:basedOn w:val="Normal"/>
    <w:link w:val="NotedebasdepageCar"/>
    <w:uiPriority w:val="99"/>
    <w:semiHidden/>
    <w:unhideWhenUsed/>
    <w:rsid w:val="00A10013"/>
    <w:pPr>
      <w:spacing w:after="0"/>
    </w:pPr>
    <w:rPr>
      <w:sz w:val="20"/>
      <w:szCs w:val="20"/>
    </w:rPr>
  </w:style>
  <w:style w:type="character" w:customStyle="1" w:styleId="NotedebasdepageCar">
    <w:name w:val="Note de bas de page Car"/>
    <w:basedOn w:val="Policepardfaut"/>
    <w:link w:val="Notedebasdepage"/>
    <w:uiPriority w:val="99"/>
    <w:semiHidden/>
    <w:rsid w:val="00A10013"/>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A10013"/>
    <w:rPr>
      <w:vertAlign w:val="superscript"/>
    </w:rPr>
  </w:style>
  <w:style w:type="character" w:customStyle="1" w:styleId="oypena">
    <w:name w:val="oypena"/>
    <w:basedOn w:val="Policepardfaut"/>
    <w:rsid w:val="0056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941">
      <w:bodyDiv w:val="1"/>
      <w:marLeft w:val="0"/>
      <w:marRight w:val="0"/>
      <w:marTop w:val="0"/>
      <w:marBottom w:val="0"/>
      <w:divBdr>
        <w:top w:val="none" w:sz="0" w:space="0" w:color="auto"/>
        <w:left w:val="none" w:sz="0" w:space="0" w:color="auto"/>
        <w:bottom w:val="none" w:sz="0" w:space="0" w:color="auto"/>
        <w:right w:val="none" w:sz="0" w:space="0" w:color="auto"/>
      </w:divBdr>
    </w:div>
    <w:div w:id="133105226">
      <w:bodyDiv w:val="1"/>
      <w:marLeft w:val="0"/>
      <w:marRight w:val="0"/>
      <w:marTop w:val="0"/>
      <w:marBottom w:val="0"/>
      <w:divBdr>
        <w:top w:val="none" w:sz="0" w:space="0" w:color="auto"/>
        <w:left w:val="none" w:sz="0" w:space="0" w:color="auto"/>
        <w:bottom w:val="none" w:sz="0" w:space="0" w:color="auto"/>
        <w:right w:val="none" w:sz="0" w:space="0" w:color="auto"/>
      </w:divBdr>
    </w:div>
    <w:div w:id="244192073">
      <w:bodyDiv w:val="1"/>
      <w:marLeft w:val="0"/>
      <w:marRight w:val="0"/>
      <w:marTop w:val="0"/>
      <w:marBottom w:val="0"/>
      <w:divBdr>
        <w:top w:val="none" w:sz="0" w:space="0" w:color="auto"/>
        <w:left w:val="none" w:sz="0" w:space="0" w:color="auto"/>
        <w:bottom w:val="none" w:sz="0" w:space="0" w:color="auto"/>
        <w:right w:val="none" w:sz="0" w:space="0" w:color="auto"/>
      </w:divBdr>
    </w:div>
    <w:div w:id="388842760">
      <w:bodyDiv w:val="1"/>
      <w:marLeft w:val="0"/>
      <w:marRight w:val="0"/>
      <w:marTop w:val="0"/>
      <w:marBottom w:val="0"/>
      <w:divBdr>
        <w:top w:val="none" w:sz="0" w:space="0" w:color="auto"/>
        <w:left w:val="none" w:sz="0" w:space="0" w:color="auto"/>
        <w:bottom w:val="none" w:sz="0" w:space="0" w:color="auto"/>
        <w:right w:val="none" w:sz="0" w:space="0" w:color="auto"/>
      </w:divBdr>
    </w:div>
    <w:div w:id="635531298">
      <w:bodyDiv w:val="1"/>
      <w:marLeft w:val="0"/>
      <w:marRight w:val="0"/>
      <w:marTop w:val="0"/>
      <w:marBottom w:val="0"/>
      <w:divBdr>
        <w:top w:val="none" w:sz="0" w:space="0" w:color="auto"/>
        <w:left w:val="none" w:sz="0" w:space="0" w:color="auto"/>
        <w:bottom w:val="none" w:sz="0" w:space="0" w:color="auto"/>
        <w:right w:val="none" w:sz="0" w:space="0" w:color="auto"/>
      </w:divBdr>
    </w:div>
    <w:div w:id="668800208">
      <w:bodyDiv w:val="1"/>
      <w:marLeft w:val="0"/>
      <w:marRight w:val="0"/>
      <w:marTop w:val="0"/>
      <w:marBottom w:val="0"/>
      <w:divBdr>
        <w:top w:val="none" w:sz="0" w:space="0" w:color="auto"/>
        <w:left w:val="none" w:sz="0" w:space="0" w:color="auto"/>
        <w:bottom w:val="none" w:sz="0" w:space="0" w:color="auto"/>
        <w:right w:val="none" w:sz="0" w:space="0" w:color="auto"/>
      </w:divBdr>
    </w:div>
    <w:div w:id="749546747">
      <w:bodyDiv w:val="1"/>
      <w:marLeft w:val="0"/>
      <w:marRight w:val="0"/>
      <w:marTop w:val="0"/>
      <w:marBottom w:val="0"/>
      <w:divBdr>
        <w:top w:val="none" w:sz="0" w:space="0" w:color="auto"/>
        <w:left w:val="none" w:sz="0" w:space="0" w:color="auto"/>
        <w:bottom w:val="none" w:sz="0" w:space="0" w:color="auto"/>
        <w:right w:val="none" w:sz="0" w:space="0" w:color="auto"/>
      </w:divBdr>
    </w:div>
    <w:div w:id="812867845">
      <w:bodyDiv w:val="1"/>
      <w:marLeft w:val="0"/>
      <w:marRight w:val="0"/>
      <w:marTop w:val="0"/>
      <w:marBottom w:val="0"/>
      <w:divBdr>
        <w:top w:val="none" w:sz="0" w:space="0" w:color="auto"/>
        <w:left w:val="none" w:sz="0" w:space="0" w:color="auto"/>
        <w:bottom w:val="none" w:sz="0" w:space="0" w:color="auto"/>
        <w:right w:val="none" w:sz="0" w:space="0" w:color="auto"/>
      </w:divBdr>
    </w:div>
    <w:div w:id="1305892231">
      <w:bodyDiv w:val="1"/>
      <w:marLeft w:val="0"/>
      <w:marRight w:val="0"/>
      <w:marTop w:val="0"/>
      <w:marBottom w:val="0"/>
      <w:divBdr>
        <w:top w:val="none" w:sz="0" w:space="0" w:color="auto"/>
        <w:left w:val="none" w:sz="0" w:space="0" w:color="auto"/>
        <w:bottom w:val="none" w:sz="0" w:space="0" w:color="auto"/>
        <w:right w:val="none" w:sz="0" w:space="0" w:color="auto"/>
      </w:divBdr>
    </w:div>
    <w:div w:id="1382094884">
      <w:bodyDiv w:val="1"/>
      <w:marLeft w:val="0"/>
      <w:marRight w:val="0"/>
      <w:marTop w:val="0"/>
      <w:marBottom w:val="0"/>
      <w:divBdr>
        <w:top w:val="none" w:sz="0" w:space="0" w:color="auto"/>
        <w:left w:val="none" w:sz="0" w:space="0" w:color="auto"/>
        <w:bottom w:val="none" w:sz="0" w:space="0" w:color="auto"/>
        <w:right w:val="none" w:sz="0" w:space="0" w:color="auto"/>
      </w:divBdr>
      <w:divsChild>
        <w:div w:id="193812842">
          <w:marLeft w:val="0"/>
          <w:marRight w:val="0"/>
          <w:marTop w:val="0"/>
          <w:marBottom w:val="0"/>
          <w:divBdr>
            <w:top w:val="none" w:sz="0" w:space="0" w:color="auto"/>
            <w:left w:val="none" w:sz="0" w:space="0" w:color="auto"/>
            <w:bottom w:val="none" w:sz="0" w:space="0" w:color="auto"/>
            <w:right w:val="none" w:sz="0" w:space="0" w:color="auto"/>
          </w:divBdr>
        </w:div>
      </w:divsChild>
    </w:div>
    <w:div w:id="1487167820">
      <w:bodyDiv w:val="1"/>
      <w:marLeft w:val="0"/>
      <w:marRight w:val="0"/>
      <w:marTop w:val="0"/>
      <w:marBottom w:val="0"/>
      <w:divBdr>
        <w:top w:val="none" w:sz="0" w:space="0" w:color="auto"/>
        <w:left w:val="none" w:sz="0" w:space="0" w:color="auto"/>
        <w:bottom w:val="none" w:sz="0" w:space="0" w:color="auto"/>
        <w:right w:val="none" w:sz="0" w:space="0" w:color="auto"/>
      </w:divBdr>
    </w:div>
    <w:div w:id="1520385501">
      <w:bodyDiv w:val="1"/>
      <w:marLeft w:val="0"/>
      <w:marRight w:val="0"/>
      <w:marTop w:val="0"/>
      <w:marBottom w:val="0"/>
      <w:divBdr>
        <w:top w:val="none" w:sz="0" w:space="0" w:color="auto"/>
        <w:left w:val="none" w:sz="0" w:space="0" w:color="auto"/>
        <w:bottom w:val="none" w:sz="0" w:space="0" w:color="auto"/>
        <w:right w:val="none" w:sz="0" w:space="0" w:color="auto"/>
      </w:divBdr>
      <w:divsChild>
        <w:div w:id="1842621135">
          <w:marLeft w:val="0"/>
          <w:marRight w:val="0"/>
          <w:marTop w:val="0"/>
          <w:marBottom w:val="0"/>
          <w:divBdr>
            <w:top w:val="none" w:sz="0" w:space="0" w:color="auto"/>
            <w:left w:val="none" w:sz="0" w:space="0" w:color="auto"/>
            <w:bottom w:val="none" w:sz="0" w:space="0" w:color="auto"/>
            <w:right w:val="none" w:sz="0" w:space="0" w:color="auto"/>
          </w:divBdr>
        </w:div>
      </w:divsChild>
    </w:div>
    <w:div w:id="1563980827">
      <w:bodyDiv w:val="1"/>
      <w:marLeft w:val="0"/>
      <w:marRight w:val="0"/>
      <w:marTop w:val="0"/>
      <w:marBottom w:val="0"/>
      <w:divBdr>
        <w:top w:val="none" w:sz="0" w:space="0" w:color="auto"/>
        <w:left w:val="none" w:sz="0" w:space="0" w:color="auto"/>
        <w:bottom w:val="none" w:sz="0" w:space="0" w:color="auto"/>
        <w:right w:val="none" w:sz="0" w:space="0" w:color="auto"/>
      </w:divBdr>
    </w:div>
    <w:div w:id="1706825963">
      <w:bodyDiv w:val="1"/>
      <w:marLeft w:val="0"/>
      <w:marRight w:val="0"/>
      <w:marTop w:val="0"/>
      <w:marBottom w:val="0"/>
      <w:divBdr>
        <w:top w:val="none" w:sz="0" w:space="0" w:color="auto"/>
        <w:left w:val="none" w:sz="0" w:space="0" w:color="auto"/>
        <w:bottom w:val="none" w:sz="0" w:space="0" w:color="auto"/>
        <w:right w:val="none" w:sz="0" w:space="0" w:color="auto"/>
      </w:divBdr>
    </w:div>
    <w:div w:id="1889754750">
      <w:bodyDiv w:val="1"/>
      <w:marLeft w:val="0"/>
      <w:marRight w:val="0"/>
      <w:marTop w:val="0"/>
      <w:marBottom w:val="0"/>
      <w:divBdr>
        <w:top w:val="none" w:sz="0" w:space="0" w:color="auto"/>
        <w:left w:val="none" w:sz="0" w:space="0" w:color="auto"/>
        <w:bottom w:val="none" w:sz="0" w:space="0" w:color="auto"/>
        <w:right w:val="none" w:sz="0" w:space="0" w:color="auto"/>
      </w:divBdr>
    </w:div>
    <w:div w:id="1954314479">
      <w:bodyDiv w:val="1"/>
      <w:marLeft w:val="0"/>
      <w:marRight w:val="0"/>
      <w:marTop w:val="0"/>
      <w:marBottom w:val="0"/>
      <w:divBdr>
        <w:top w:val="none" w:sz="0" w:space="0" w:color="auto"/>
        <w:left w:val="none" w:sz="0" w:space="0" w:color="auto"/>
        <w:bottom w:val="none" w:sz="0" w:space="0" w:color="auto"/>
        <w:right w:val="none" w:sz="0" w:space="0" w:color="auto"/>
      </w:divBdr>
      <w:divsChild>
        <w:div w:id="125584498">
          <w:marLeft w:val="0"/>
          <w:marRight w:val="0"/>
          <w:marTop w:val="0"/>
          <w:marBottom w:val="0"/>
          <w:divBdr>
            <w:top w:val="none" w:sz="0" w:space="0" w:color="auto"/>
            <w:left w:val="none" w:sz="0" w:space="0" w:color="auto"/>
            <w:bottom w:val="none" w:sz="0" w:space="0" w:color="auto"/>
            <w:right w:val="none" w:sz="0" w:space="0" w:color="auto"/>
          </w:divBdr>
        </w:div>
      </w:divsChild>
    </w:div>
    <w:div w:id="2004509740">
      <w:bodyDiv w:val="1"/>
      <w:marLeft w:val="0"/>
      <w:marRight w:val="0"/>
      <w:marTop w:val="0"/>
      <w:marBottom w:val="0"/>
      <w:divBdr>
        <w:top w:val="none" w:sz="0" w:space="0" w:color="auto"/>
        <w:left w:val="none" w:sz="0" w:space="0" w:color="auto"/>
        <w:bottom w:val="none" w:sz="0" w:space="0" w:color="auto"/>
        <w:right w:val="none" w:sz="0" w:space="0" w:color="auto"/>
      </w:divBdr>
    </w:div>
    <w:div w:id="2033609731">
      <w:bodyDiv w:val="1"/>
      <w:marLeft w:val="0"/>
      <w:marRight w:val="0"/>
      <w:marTop w:val="0"/>
      <w:marBottom w:val="0"/>
      <w:divBdr>
        <w:top w:val="none" w:sz="0" w:space="0" w:color="auto"/>
        <w:left w:val="none" w:sz="0" w:space="0" w:color="auto"/>
        <w:bottom w:val="none" w:sz="0" w:space="0" w:color="auto"/>
        <w:right w:val="none" w:sz="0" w:space="0" w:color="auto"/>
      </w:divBdr>
    </w:div>
    <w:div w:id="20668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gouv.fr/Thematiques/developpement-culturel/Culture-et-handicap/Guides-pratiques/Culture-et-handicap.-Guide-pratique-de-l-accessibilite-2007" TargetMode="External"/><Relationship Id="rId13" Type="http://schemas.openxmlformats.org/officeDocument/2006/relationships/hyperlink" Target="https://www.souffleursdesens.org/formation-sensibilisat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teforme-cshd-occitanie.com/wp-content/uploads/2016/05/chaine-de-laccessibilite%CC%8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9281056/D%C3%A9mocratisation_de_la_culture_et_ou_d%C3%A9mocratie_culturelle_Comment_repenser_aujourdhui_une_politique_de_d%C3%A9mocratisation_de_la_cultu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urnals.openedition.org/culturemusees/595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irn.info/revue-l-observatoire-2007-2-page-19.htm" TargetMode="External"/><Relationship Id="rId14" Type="http://schemas.openxmlformats.org/officeDocument/2006/relationships/hyperlink" Target="mailto:contact@souffleursdese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FBDC9-4662-4CA6-851C-02234F21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838</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LIVOLSI</dc:creator>
  <cp:keywords/>
  <dc:description/>
  <cp:lastModifiedBy>Ambrine DRICI-TANI</cp:lastModifiedBy>
  <cp:revision>17</cp:revision>
  <dcterms:created xsi:type="dcterms:W3CDTF">2024-02-20T11:24:00Z</dcterms:created>
  <dcterms:modified xsi:type="dcterms:W3CDTF">2024-06-10T10:06:00Z</dcterms:modified>
</cp:coreProperties>
</file>